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3A" w:rsidRDefault="0069233A" w:rsidP="0069233A">
      <w:pPr>
        <w:keepNext/>
        <w:tabs>
          <w:tab w:val="num" w:pos="0"/>
          <w:tab w:val="left" w:pos="28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color w:val="99CCFF"/>
          <w:sz w:val="44"/>
          <w:szCs w:val="44"/>
          <w:u w:val="single"/>
        </w:rPr>
      </w:pPr>
      <w:r w:rsidRPr="0069233A">
        <w:rPr>
          <w:rFonts w:ascii="Times New Roman" w:eastAsia="Times New Roman" w:hAnsi="Times New Roman" w:cs="Times New Roman"/>
          <w:b/>
          <w:bCs/>
          <w:smallCaps/>
          <w:color w:val="99CCFF"/>
          <w:sz w:val="44"/>
          <w:szCs w:val="44"/>
          <w:u w:val="single"/>
        </w:rPr>
        <w:t>FICHE-ACTION</w:t>
      </w:r>
    </w:p>
    <w:p w:rsidR="0069233A" w:rsidRPr="0069233A" w:rsidRDefault="0069233A" w:rsidP="00692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233A" w:rsidRPr="0069233A" w:rsidRDefault="0069233A" w:rsidP="00692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7159"/>
      </w:tblGrid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OBJECTIF OPERATIONNEL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3A" w:rsidRPr="0069233A" w:rsidRDefault="00791CF1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Faire vivre le PEAC au lycée</w:t>
            </w: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3A" w:rsidRPr="0069233A" w:rsidRDefault="00791CF1" w:rsidP="005516C5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Construire et implanter le PEAC </w:t>
            </w:r>
            <w:r w:rsidR="005516C5">
              <w:rPr>
                <w:rFonts w:ascii="Times New Roman" w:eastAsia="Times New Roman" w:hAnsi="Times New Roman" w:cs="Times New Roman"/>
                <w:sz w:val="24"/>
                <w:szCs w:val="24"/>
              </w:rPr>
              <w:t>à travers les enseignements obligatoires et/ou facultatifs et les différentes activités d’ouverture culturelle et citoyenne.</w:t>
            </w:r>
          </w:p>
          <w:p w:rsidR="0069233A" w:rsidRPr="0069233A" w:rsidRDefault="0069233A" w:rsidP="0069233A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6C5" w:rsidRPr="0069233A" w:rsidTr="005F7EEB">
        <w:trPr>
          <w:trHeight w:val="111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CCFF"/>
          </w:tcPr>
          <w:p w:rsidR="00A74B29" w:rsidRPr="0069233A" w:rsidRDefault="00A74B29" w:rsidP="00A74B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VISE</w:t>
            </w:r>
          </w:p>
          <w:p w:rsidR="005516C5" w:rsidRPr="0069233A" w:rsidRDefault="005516C5" w:rsidP="00A74B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6C5" w:rsidRPr="0069233A" w:rsidRDefault="005516C5" w:rsidP="005516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6C5" w:rsidRPr="0069233A" w:rsidRDefault="005516C5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6C5" w:rsidRPr="0069233A" w:rsidRDefault="00A74B29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Tous les lycéens</w:t>
            </w:r>
          </w:p>
        </w:tc>
      </w:tr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A74B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  <w:p w:rsidR="00A74B29" w:rsidRPr="0069233A" w:rsidRDefault="00A74B29" w:rsidP="00A74B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LIEN AVEC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 PROGRAMMES DISCIPLINAIRES</w:t>
            </w:r>
          </w:p>
          <w:p w:rsidR="0069233A" w:rsidRPr="0069233A" w:rsidRDefault="0069233A" w:rsidP="00A74B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33A" w:rsidRDefault="00A74B29" w:rsidP="005516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cibler en fonction de la thématique choisi</w:t>
            </w:r>
            <w:r w:rsidR="00CD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et des disciplines associées 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>dans le cadre des enseignements obligatoires et/ou</w:t>
            </w:r>
            <w:r w:rsidR="00CD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dans le cadre des enseigneme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>nts d’exploration et des enseignements facultatifs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74B29" w:rsidRDefault="00A74B29" w:rsidP="005516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B29" w:rsidRPr="0069233A" w:rsidRDefault="00A74B29" w:rsidP="005516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A74B29" w:rsidRPr="0069233A" w:rsidRDefault="00A74B29" w:rsidP="00A74B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A74B29" w:rsidP="00A74B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DESCRIPTIF DE L’ACTION</w:t>
            </w:r>
          </w:p>
          <w:p w:rsidR="0069233A" w:rsidRPr="0069233A" w:rsidRDefault="0069233A" w:rsidP="00A74B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69233A" w:rsidP="00A74B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7B" w:rsidRDefault="00C5687B" w:rsidP="00C5687B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87B" w:rsidRDefault="00861F03" w:rsidP="00C5687B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Faire vivre le PEAC</w:t>
            </w:r>
            <w:r w:rsidR="00C56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travers les différentes initiatives à 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cation artistique et culturelle :</w:t>
            </w:r>
          </w:p>
          <w:p w:rsidR="00861F03" w:rsidRDefault="00861F03" w:rsidP="00C5687B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Selon :</w:t>
            </w:r>
          </w:p>
          <w:p w:rsidR="0069233A" w:rsidRPr="00861F03" w:rsidRDefault="00861F03" w:rsidP="00861F03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C5ECC" w:rsidRPr="00861F03">
              <w:rPr>
                <w:rFonts w:ascii="Times New Roman" w:eastAsia="Times New Roman" w:hAnsi="Times New Roman" w:cs="Times New Roman"/>
                <w:sz w:val="24"/>
                <w:szCs w:val="24"/>
              </w:rPr>
              <w:t>haque pr</w:t>
            </w:r>
            <w:r w:rsidR="003B577A">
              <w:rPr>
                <w:rFonts w:ascii="Times New Roman" w:eastAsia="Times New Roman" w:hAnsi="Times New Roman" w:cs="Times New Roman"/>
                <w:sz w:val="24"/>
                <w:szCs w:val="24"/>
              </w:rPr>
              <w:t>ogramme des matières enseignées(en EPS, LEGT BO n°4 du 29.04.2010 et en LP BO spécial n°2 du 19.02.2009)</w:t>
            </w:r>
          </w:p>
          <w:p w:rsidR="00692332" w:rsidRDefault="00DC5ECC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Enseignements d’exploration artistique ou </w:t>
            </w:r>
            <w:r w:rsidR="00692332"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3B5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(BO.n°4 du 29.04.2010)</w:t>
            </w:r>
            <w:r w:rsidR="00AC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spécifiques aux classes de secondes. Le programme est à construire en fonction d’un projet interdisciplinaire.</w:t>
            </w:r>
          </w:p>
          <w:p w:rsidR="003B577A" w:rsidRDefault="003B577A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Enseignements artistiques facultatifs (BO spécial n°4 du 29.04.2010)</w:t>
            </w:r>
            <w:r w:rsidR="00AC05B5">
              <w:rPr>
                <w:rFonts w:ascii="Times New Roman" w:eastAsia="Times New Roman" w:hAnsi="Times New Roman" w:cs="Times New Roman"/>
                <w:sz w:val="24"/>
                <w:szCs w:val="24"/>
              </w:rPr>
              <w:t> : danse, théâtre, musique, arts plastiques, cinéma…</w:t>
            </w:r>
          </w:p>
          <w:p w:rsidR="00692332" w:rsidRDefault="003B577A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Options de spécialités (BO n°9 du 30.09.2010)</w:t>
            </w:r>
            <w:r w:rsidR="00AC05B5">
              <w:rPr>
                <w:rFonts w:ascii="Times New Roman" w:eastAsia="Times New Roman" w:hAnsi="Times New Roman" w:cs="Times New Roman"/>
                <w:sz w:val="24"/>
                <w:szCs w:val="24"/>
              </w:rPr>
              <w:t> : danse, théâtre, musique…</w:t>
            </w:r>
            <w:bookmarkStart w:id="0" w:name="_GoBack"/>
            <w:bookmarkEnd w:id="0"/>
          </w:p>
          <w:p w:rsidR="00692332" w:rsidRDefault="00692332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UNSS</w:t>
            </w:r>
          </w:p>
          <w:p w:rsidR="00692332" w:rsidRDefault="00692332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onseil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>ycéenne</w:t>
            </w:r>
          </w:p>
          <w:p w:rsidR="00692332" w:rsidRDefault="00692332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Journées thématiques (nationale</w:t>
            </w:r>
            <w:r w:rsidR="00861F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choisies par l’établissement)</w:t>
            </w:r>
          </w:p>
          <w:p w:rsidR="00692332" w:rsidRDefault="00692332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Dispositifs académiques (le mois de l’autre, le printemps de l’écriture, l’école du spectateur, lycéens au cinéma…)</w:t>
            </w:r>
          </w:p>
          <w:p w:rsidR="00861F03" w:rsidRDefault="00861F03" w:rsidP="00692332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Selon les ressources humaines (</w:t>
            </w:r>
            <w:r w:rsidR="00F2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référent culture,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assistants de langue,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enseignant documentaliste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d’éducation, employé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civique, 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représentant 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 scolaire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>, infirmière, COP, assistant social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61F03" w:rsidRDefault="00861F03" w:rsidP="00861F03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F03" w:rsidRDefault="00861F03" w:rsidP="00861F03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 s’appuyant sur :</w:t>
            </w:r>
          </w:p>
          <w:p w:rsidR="003B577A" w:rsidRPr="003B577A" w:rsidRDefault="003B577A" w:rsidP="003B5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1F03" w:rsidRDefault="00861F03" w:rsidP="00861F03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 propositions des structures artistiques et culturelles</w:t>
            </w:r>
          </w:p>
          <w:p w:rsidR="00861F03" w:rsidRDefault="00861F03" w:rsidP="00861F03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 intervenants extérieurs</w:t>
            </w:r>
          </w:p>
          <w:p w:rsidR="00861F03" w:rsidRDefault="00861F03" w:rsidP="00861F03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Cf. fiche action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 la construction du parcours »</w:t>
            </w:r>
          </w:p>
          <w:p w:rsidR="00861F03" w:rsidRPr="00692332" w:rsidRDefault="00861F03" w:rsidP="00861F03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33A" w:rsidRPr="0069233A" w:rsidTr="009F73B6">
        <w:trPr>
          <w:trHeight w:val="322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33A" w:rsidRPr="0069233A" w:rsidRDefault="00A74B29" w:rsidP="00692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ACTIVITES PEDAGOGIQUES ENVISAGEES</w:t>
            </w:r>
          </w:p>
          <w:p w:rsidR="0069233A" w:rsidRPr="0069233A" w:rsidRDefault="0069233A" w:rsidP="00692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77A" w:rsidRDefault="003B577A" w:rsidP="003B5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77A" w:rsidRPr="003B577A" w:rsidRDefault="003B577A" w:rsidP="003B5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2AD" w:rsidRDefault="00F262AD" w:rsidP="00F262AD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mettre autour d’une table avec les enseignants, le référent culture et choisir un référent PEAC coordonnateur du ou des projets annuels. </w:t>
            </w:r>
            <w:r w:rsidR="004F7994">
              <w:rPr>
                <w:rFonts w:ascii="Times New Roman" w:eastAsia="Times New Roman" w:hAnsi="Times New Roman" w:cs="Times New Roman"/>
                <w:sz w:val="24"/>
                <w:szCs w:val="24"/>
              </w:rPr>
              <w:t>(En raison des échéances liées aux demandes de subventions type ACMISA, se réunir avant la fin de l’année scolaire en cours)</w:t>
            </w:r>
          </w:p>
          <w:p w:rsidR="0069233A" w:rsidRDefault="00F262AD" w:rsidP="00F262AD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</w:t>
            </w:r>
            <w:r w:rsidR="003B577A">
              <w:rPr>
                <w:rFonts w:ascii="Times New Roman" w:eastAsia="Times New Roman" w:hAnsi="Times New Roman" w:cs="Times New Roman"/>
                <w:sz w:val="24"/>
                <w:szCs w:val="24"/>
              </w:rPr>
              <w:t>re l’état des lieux des projets.</w:t>
            </w:r>
          </w:p>
          <w:p w:rsidR="004F7994" w:rsidRDefault="004F7994" w:rsidP="00F262AD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attentif à l’équilibre des offres selon les niveaux de classe et les filières.</w:t>
            </w:r>
          </w:p>
          <w:p w:rsidR="00974A94" w:rsidRDefault="00974A94" w:rsidP="009B23FC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77A" w:rsidRPr="003B577A" w:rsidRDefault="003B577A" w:rsidP="003B5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29C" w:rsidRPr="003B577A" w:rsidRDefault="009B23FC" w:rsidP="00C9129C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</w:t>
            </w:r>
            <w:r w:rsidR="003B577A" w:rsidRPr="003B5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 référer aux 6 domaines de l’histoire des arts :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de l’espace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visuels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du quotidien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du son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du spectacle vivant</w:t>
            </w:r>
          </w:p>
          <w:p w:rsidR="003B577A" w:rsidRDefault="003B577A" w:rsidP="003B577A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du langage</w:t>
            </w:r>
          </w:p>
          <w:p w:rsidR="003B577A" w:rsidRPr="003B577A" w:rsidRDefault="003B577A" w:rsidP="003B5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77A" w:rsidRDefault="003B577A" w:rsidP="00C9129C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77A" w:rsidRPr="004F7994" w:rsidRDefault="004F7994" w:rsidP="00C9129C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F79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Et respecter les 3 piliers incontournables du PEAC :</w:t>
            </w:r>
          </w:p>
          <w:p w:rsidR="004F7994" w:rsidRDefault="004F7994" w:rsidP="004F7994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Fréquenter (rencontres)</w:t>
            </w:r>
          </w:p>
          <w:p w:rsidR="004F7994" w:rsidRDefault="004F7994" w:rsidP="004F7994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Pratiquer (pratiques)</w:t>
            </w:r>
          </w:p>
          <w:p w:rsidR="004F7994" w:rsidRPr="004F7994" w:rsidRDefault="004F7994" w:rsidP="004F7994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S’approprier (connaissances)</w:t>
            </w:r>
          </w:p>
          <w:p w:rsidR="003B577A" w:rsidRDefault="003B577A" w:rsidP="00C9129C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77A" w:rsidRDefault="00974A94" w:rsidP="00974A94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Faire l’inventaire des envies et faire émerger des thèmes fédérateurs qui pourront être le point de départ du projet.</w:t>
            </w:r>
          </w:p>
          <w:p w:rsidR="00974A94" w:rsidRPr="00974A94" w:rsidRDefault="00974A94" w:rsidP="00974A94">
            <w:pPr>
              <w:pStyle w:val="Paragraphedelist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33A" w:rsidRPr="008B599F" w:rsidRDefault="00974A94" w:rsidP="008B599F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Faire des choix </w:t>
            </w:r>
            <w:r w:rsidR="00FB4D14">
              <w:rPr>
                <w:rFonts w:ascii="Times New Roman" w:eastAsia="Times New Roman" w:hAnsi="Times New Roman" w:cs="Times New Roman"/>
                <w:sz w:val="24"/>
                <w:szCs w:val="24"/>
              </w:rPr>
              <w:t>qui seront réajustés à la rentrée.</w:t>
            </w: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Forme de restitution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599F" w:rsidRDefault="008B599F" w:rsidP="008B599F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>Rendre le projet visible par une restitution élève sous différentes formes (</w:t>
            </w:r>
            <w:proofErr w:type="spellStart"/>
            <w:r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> : fiche action « infos pratiques sur le PEAC ») et trouver des pistes pour valoriser le parcours de chaque élève : remplir le livret scolaire, notifier sur A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dmission </w:t>
            </w:r>
            <w:r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 </w:t>
            </w:r>
            <w:r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B23FC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="00212BDB" w:rsidRP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autres manières de laisser une trace </w:t>
            </w:r>
            <w:r w:rsidR="00A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(construction d’un outil propre à l’établissement de type folio ou carnet de bord….). </w:t>
            </w:r>
          </w:p>
          <w:p w:rsidR="00A0224C" w:rsidRPr="00A0224C" w:rsidRDefault="00A0224C" w:rsidP="008B599F">
            <w:pPr>
              <w:pStyle w:val="Paragraphedeliste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Cette restitution pourra permettre à l’élève de témoigner de son parcours artistique lors d’un entretien post-bac et enrichir son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AC05B5">
              <w:rPr>
                <w:rFonts w:ascii="Times New Roman" w:eastAsia="Times New Roman" w:hAnsi="Times New Roman" w:cs="Times New Roman"/>
                <w:sz w:val="24"/>
                <w:szCs w:val="24"/>
              </w:rPr>
              <w:t>urriculum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C05B5">
              <w:rPr>
                <w:rFonts w:ascii="Times New Roman" w:eastAsia="Times New Roman" w:hAnsi="Times New Roman" w:cs="Times New Roman"/>
                <w:sz w:val="24"/>
                <w:szCs w:val="24"/>
              </w:rPr>
              <w:t>itae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99F" w:rsidRDefault="008B599F" w:rsidP="008B599F">
            <w:pPr>
              <w:pStyle w:val="Paragraphedeliste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33A" w:rsidRPr="0069233A" w:rsidTr="009F73B6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69233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Remarques et point d’attention</w:t>
            </w: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  <w:p w:rsidR="0069233A" w:rsidRP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3A" w:rsidRDefault="0069233A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24C" w:rsidRDefault="00A0224C" w:rsidP="00692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24C" w:rsidRPr="0069233A" w:rsidRDefault="00A0224C" w:rsidP="00A022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PEAC ne doit pas être une contrainte mais une mise en lumière de l’existant et de l’émergeant.  </w:t>
            </w:r>
          </w:p>
        </w:tc>
      </w:tr>
    </w:tbl>
    <w:p w:rsidR="0069233A" w:rsidRPr="0069233A" w:rsidRDefault="0069233A" w:rsidP="00692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E2E" w:rsidRDefault="00C82E2E"/>
    <w:sectPr w:rsidR="00C82E2E" w:rsidSect="006923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624"/>
    <w:multiLevelType w:val="hybridMultilevel"/>
    <w:tmpl w:val="9558C2EE"/>
    <w:lvl w:ilvl="0" w:tplc="BABE86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3A"/>
    <w:rsid w:val="00212BDB"/>
    <w:rsid w:val="003B577A"/>
    <w:rsid w:val="004F7994"/>
    <w:rsid w:val="00534B6D"/>
    <w:rsid w:val="005516C5"/>
    <w:rsid w:val="00692332"/>
    <w:rsid w:val="0069233A"/>
    <w:rsid w:val="00791CF1"/>
    <w:rsid w:val="00861F03"/>
    <w:rsid w:val="008B599F"/>
    <w:rsid w:val="00974A94"/>
    <w:rsid w:val="009B23FC"/>
    <w:rsid w:val="00A0224C"/>
    <w:rsid w:val="00A74B29"/>
    <w:rsid w:val="00AC05B5"/>
    <w:rsid w:val="00C5687B"/>
    <w:rsid w:val="00C82E2E"/>
    <w:rsid w:val="00C9129C"/>
    <w:rsid w:val="00CD1077"/>
    <w:rsid w:val="00DC5ECC"/>
    <w:rsid w:val="00E22E5E"/>
    <w:rsid w:val="00F262AD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9115A6A2</Template>
  <TotalTime>0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</dc:creator>
  <cp:lastModifiedBy>kreuzers</cp:lastModifiedBy>
  <cp:revision>2</cp:revision>
  <dcterms:created xsi:type="dcterms:W3CDTF">2016-06-14T13:45:00Z</dcterms:created>
  <dcterms:modified xsi:type="dcterms:W3CDTF">2016-06-14T13:45:00Z</dcterms:modified>
</cp:coreProperties>
</file>