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4.png" ContentType="image/png"/>
  <Override PartName="/word/media/image3.png" ContentType="image/png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>Comment bien corriger mes contrôles en cours de langues</w:t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6147435</wp:posOffset>
            </wp:positionH>
            <wp:positionV relativeFrom="page">
              <wp:posOffset>7877175</wp:posOffset>
            </wp:positionV>
            <wp:extent cx="1152525" cy="95059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287020</wp:posOffset>
            </wp:positionH>
            <wp:positionV relativeFrom="page">
              <wp:posOffset>8957310</wp:posOffset>
            </wp:positionV>
            <wp:extent cx="795655" cy="84391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</w:r>
    </w:p>
    <w:p>
      <w:pPr>
        <w:pStyle w:val="Normal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Grâce à ce tableau tu pourras mieux comprendre l’origine de tes erreurs et les corriger de manière autonome!</w:t>
      </w:r>
    </w:p>
    <w:p>
      <w:pPr>
        <w:pStyle w:val="Normal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7371"/>
      </w:tblGrid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Orth.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Orthographe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Voc. 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Vocabulaire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conj. 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Conjugaison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Suj.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Sujet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Pl. V 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Place du verbe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VE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Verb am Ende des Satzes: verbe à la fin de la phrase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VI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Verbe à l‘infinitif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Ved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Verbe au passé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Ving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Verbe au présent progressif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Ven/ part. pass.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Participe passé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Tense/temps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Temps (présent, passé-composé, prétérit, futur…)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Aux.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 xml:space="preserve">Auxiliaire (to be/to have; sein/haben/werden) 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Sing. / Plur.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Singulier / Pluriel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Poss.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Possesseurs (his/her; sein/ihr)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Pron.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Pronoms personnels (I, you, he, she, we, you, they/ ich, du, er, sie, es, wir, ihr, sie, Sie)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Prep./ Präp.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Prépositions (in, on, next to, by, behind, in front of…/ in, an, auf, über, unter, aus, hinter, neben…)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Conjonction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Conjonction (dass, wenn, weil, ob…)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Cons.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Construction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Gram.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Grammaire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Ponct.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Ponctuation (point (final, d’exclamation, d’interrogation), virgule, guillemets…)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Gender/Genus 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Genre (der, die, das)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Masc. </w:t>
            </w: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drawing>
                <wp:inline distT="0" distB="0" distL="0" distR="0">
                  <wp:extent cx="304800" cy="304800"/>
                  <wp:effectExtent l="0" t="0" r="0" b="0"/>
                  <wp:docPr id="2" name="Picture" descr="http://www.nescargot.fr/399-360-thickbox/sticker-symbole-mascul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http://www.nescargot.fr/399-360-thickbox/sticker-symbole-mascul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</w:p>
          <w:p>
            <w:pPr>
              <w:pStyle w:val="Normal"/>
              <w:rPr>
                <w:rFonts w:cs="Arial"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fem.</w:t>
            </w:r>
            <w:r>
              <w:rPr>
                <w:rFonts w:cs="Arial"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cs="Arial" w:ascii="Comic Sans MS" w:hAnsi="Comic Sans MS"/>
                <w:sz w:val="22"/>
                <w:szCs w:val="22"/>
              </w:rPr>
              <w:drawing>
                <wp:inline distT="0" distB="0" distL="0" distR="0">
                  <wp:extent cx="351790" cy="351790"/>
                  <wp:effectExtent l="0" t="0" r="0" b="0"/>
                  <wp:docPr id="3" name="Picture" descr="http://www.francestickers.com/383-1243-thickbox/symbole-feminin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http://www.francestickers.com/383-1243-thickbox/symbole-feminin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Masculin / féminin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>Maj.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omic Sans MS" w:hAnsi="Comic Sans MS"/>
                <w:sz w:val="22"/>
                <w:szCs w:val="22"/>
                <w:lang w:val="de-DE"/>
              </w:rPr>
            </w:pPr>
            <w:r>
              <w:rPr>
                <w:rFonts w:ascii="Comic Sans MS" w:hAnsi="Comic Sans MS"/>
                <w:sz w:val="22"/>
                <w:szCs w:val="22"/>
                <w:lang w:val="de-DE"/>
              </w:rPr>
              <w:t>Majuscule</w:t>
            </w:r>
          </w:p>
        </w:tc>
      </w:tr>
    </w:tbl>
    <w:p>
      <w:pPr>
        <w:pStyle w:val="Normal"/>
        <w:rPr>
          <w:rFonts w:ascii="Comic Sans MS" w:hAnsi="Comic Sans MS"/>
          <w:b/>
          <w:sz w:val="28"/>
          <w:szCs w:val="28"/>
          <w:lang w:val="de-DE"/>
        </w:rPr>
      </w:pPr>
      <w:r>
        <w:rPr>
          <w:rFonts w:ascii="Comic Sans MS" w:hAnsi="Comic Sans MS"/>
          <w:b/>
          <w:sz w:val="28"/>
          <w:szCs w:val="28"/>
          <w:lang w:val="de-DE"/>
        </w:rPr>
      </w:r>
    </w:p>
    <w:p>
      <w:pPr>
        <w:pStyle w:val="Normal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 corrige toujours en vert et recopie ce que le professeur note au tableau.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 ne corrige pas seulement les mots erronés mais réécris toute la phrase proprement.</w:t>
      </w:r>
    </w:p>
    <w:sectPr>
      <w:type w:val="nextPage"/>
      <w:pgSz w:w="11906" w:h="16838"/>
      <w:pgMar w:left="720" w:right="720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010bea"/>
    <w:pPr>
      <w:widowControl/>
      <w:suppressAutoHyphens w:val="true"/>
      <w:bidi w:val="0"/>
      <w:spacing w:lineRule="auto" w:line="276"/>
      <w:jc w:val="left"/>
    </w:pPr>
    <w:rPr>
      <w:rFonts w:ascii="Calibri" w:hAnsi="Calibri" w:eastAsia="Droid Sans Fallback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uiPriority w:val="99"/>
    <w:semiHidden/>
    <w:link w:val="Textedebulles"/>
    <w:rsid w:val="00ba1567"/>
    <w:basedOn w:val="DefaultParagraphFont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TextedebullesCar"/>
    <w:rsid w:val="00ba1567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b79f3"/>
    <w:pPr>
      <w:spacing w:lineRule="auto" w:line="240"/>
    </w:pPr>
    <w:tblPr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EE09-8D24-4D27-9CF4-D86E1539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2014-12-01T16:59:00Z</dcterms:created>
  <dc:creator>Cécile</dc:creator>
  <dc:language>fr-FR</dc:language>
  <cp:lastModifiedBy>Bettina Cuissot-Lecoeuche</cp:lastModifiedBy>
  <dcterms:modified xsi:type="dcterms:W3CDTF">2014-12-01T16:59:00Z</dcterms:modified>
  <cp:revision>2</cp:revision>
</cp:coreProperties>
</file>