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sz w:val="32"/>
          <w:szCs w:val="32"/>
        </w:rPr>
      </w:pPr>
      <w:r>
        <w:rPr>
          <w:rFonts w:ascii="Comic Sans MS" w:hAnsi="Comic Sans MS"/>
          <w:b/>
          <w:color w:val="002060"/>
          <w:sz w:val="32"/>
          <w:szCs w:val="32"/>
        </w:rPr>
        <w:t>COLL</w:t>
      </w:r>
      <w:r>
        <w:rPr>
          <w:rFonts w:eastAsia="Droid Sans Fallback" w:cs="FreeSans" w:ascii="Comic Sans MS" w:hAnsi="Comic Sans MS"/>
          <w:b/>
          <w:color w:val="002060"/>
          <w:sz w:val="32"/>
          <w:szCs w:val="32"/>
        </w:rPr>
        <w:t>È</w:t>
      </w:r>
      <w:r>
        <w:rPr>
          <w:rFonts w:ascii="Comic Sans MS" w:hAnsi="Comic Sans MS"/>
          <w:b/>
          <w:color w:val="002060"/>
          <w:sz w:val="32"/>
          <w:szCs w:val="32"/>
        </w:rPr>
        <w:t>GE – Palier 2</w:t>
      </w:r>
      <w:r>
        <w:rPr>
          <w:rFonts w:ascii="Comic Sans MS" w:hAnsi="Comic Sans MS"/>
          <w:b/>
          <w:color w:val="002060"/>
          <w:sz w:val="32"/>
          <w:szCs w:val="32"/>
        </w:rPr>
        <w:t xml:space="preserve"> - </w:t>
      </w:r>
      <w:r>
        <w:rPr>
          <w:rFonts w:ascii="Comic Sans MS" w:hAnsi="Comic Sans MS"/>
          <w:b/>
          <w:color w:val="002060"/>
          <w:sz w:val="32"/>
          <w:szCs w:val="32"/>
        </w:rPr>
        <w:t>1ère &amp; 2ème année</w:t>
      </w:r>
    </w:p>
    <w:p>
      <w:pPr>
        <w:pStyle w:val="Normal"/>
        <w:rPr>
          <w:rFonts w:ascii="Comic Sans MS" w:hAnsi="Comic Sans MS"/>
        </w:rPr>
      </w:pPr>
      <w:r>
        <w:rPr>
          <w:rFonts w:ascii="Comic Sans MS" w:hAnsi="Comic Sans MS"/>
        </w:rPr>
      </w:r>
    </w:p>
    <w:p>
      <w:pPr>
        <w:pStyle w:val="Normal"/>
        <w:rPr>
          <w:rFonts w:ascii="Comic Sans MS" w:hAnsi="Comic Sans MS"/>
          <w:b/>
          <w:color w:val="000000"/>
          <w:shd w:fill="CC99FF" w:val="clear"/>
        </w:rPr>
      </w:pPr>
      <w:r>
        <w:rPr>
          <w:rFonts w:ascii="Comic Sans MS" w:hAnsi="Comic Sans MS"/>
          <w:b/>
          <w:color w:val="000000"/>
          <w:shd w:fill="CC99FF" w:val="clear"/>
        </w:rPr>
        <w:t>Parler en continu 1</w:t>
      </w:r>
    </w:p>
    <w:p>
      <w:pPr>
        <w:pStyle w:val="Normal"/>
        <w:rPr>
          <w:rFonts w:ascii="Comic Sans MS" w:hAnsi="Comic Sans MS"/>
        </w:rPr>
      </w:pPr>
      <w:r>
        <w:rPr>
          <w:rFonts w:ascii="Comic Sans MS" w:hAnsi="Comic Sans MS"/>
        </w:rPr>
      </w:r>
    </w:p>
    <w:p>
      <w:pPr>
        <w:pStyle w:val="Normal"/>
        <w:rPr>
          <w:rFonts w:ascii="Comic Sans MS" w:hAnsi="Comic Sans MS"/>
          <w:color w:val="000000"/>
        </w:rPr>
      </w:pPr>
      <w:r>
        <w:rPr>
          <w:rFonts w:ascii="Comic Sans MS" w:hAnsi="Comic Sans MS"/>
          <w:b/>
          <w:bCs/>
          <w:color w:val="000000"/>
          <w:u w:val="single"/>
        </w:rPr>
        <w:t>Notion </w:t>
      </w:r>
      <w:r>
        <w:rPr>
          <w:rFonts w:ascii="Comic Sans MS" w:hAnsi="Comic Sans MS"/>
          <w:color w:val="000000"/>
        </w:rPr>
        <w:t>: école et société</w:t>
      </w:r>
    </w:p>
    <w:p>
      <w:pPr>
        <w:pStyle w:val="Normal"/>
        <w:rPr>
          <w:rFonts w:ascii="Comic Sans MS" w:hAnsi="Comic Sans MS"/>
          <w:color w:val="000000"/>
        </w:rPr>
      </w:pPr>
      <w:r>
        <w:rPr>
          <w:rFonts w:ascii="Comic Sans MS" w:hAnsi="Comic Sans MS"/>
          <w:color w:val="000000"/>
        </w:rPr>
        <w:t xml:space="preserve">Le harcèlement à l’école </w:t>
      </w:r>
    </w:p>
    <w:p>
      <w:pPr>
        <w:pStyle w:val="Normal"/>
        <w:rPr>
          <w:rFonts w:ascii="Comic Sans MS" w:hAnsi="Comic Sans MS"/>
        </w:rPr>
      </w:pPr>
      <w:r>
        <w:rPr>
          <w:rFonts w:ascii="Comic Sans MS" w:hAnsi="Comic Sans MS"/>
        </w:rPr>
      </w:r>
    </w:p>
    <w:p>
      <w:pPr>
        <w:pStyle w:val="Normal"/>
        <w:rPr>
          <w:rFonts w:ascii="Comic Sans MS" w:hAnsi="Comic Sans MS"/>
        </w:rPr>
      </w:pPr>
      <w:r>
        <w:rPr>
          <w:rFonts w:ascii="Comic Sans MS" w:hAnsi="Comic Sans MS"/>
          <w:b/>
          <w:bCs/>
          <w:u w:val="single"/>
        </w:rPr>
        <w:t>Tâche </w:t>
      </w:r>
      <w:r>
        <w:rPr>
          <w:rFonts w:ascii="Comic Sans MS" w:hAnsi="Comic Sans MS"/>
        </w:rPr>
        <w:t>: campagne anti-harcèlement au collège</w:t>
      </w:r>
    </w:p>
    <w:p>
      <w:pPr>
        <w:pStyle w:val="ListParagraph"/>
        <w:numPr>
          <w:ilvl w:val="0"/>
          <w:numId w:val="1"/>
        </w:numPr>
        <w:jc w:val="both"/>
        <w:rPr>
          <w:rFonts w:ascii="Comic Sans MS" w:hAnsi="Comic Sans MS"/>
        </w:rPr>
      </w:pPr>
      <w:r>
        <w:rPr>
          <w:rFonts w:ascii="Comic Sans MS" w:hAnsi="Comic Sans MS"/>
        </w:rPr>
        <w:t>En groupes : analyse individuelle de documents différents pour chaque groupe (</w:t>
      </w:r>
      <w:r>
        <w:rPr>
          <w:rFonts w:ascii="Comic Sans MS" w:hAnsi="Comic Sans MS"/>
          <w:i/>
          <w:iCs/>
        </w:rPr>
        <w:t>témoignages de victimes ou de bourreaux repentis</w:t>
      </w:r>
      <w:r>
        <w:rPr>
          <w:rFonts w:ascii="Comic Sans MS" w:hAnsi="Comic Sans MS"/>
        </w:rPr>
        <w:t>) suivie d’une mise en commun des notes ;</w:t>
      </w:r>
    </w:p>
    <w:p>
      <w:pPr>
        <w:pStyle w:val="ListParagraph"/>
        <w:rPr>
          <w:rFonts w:ascii="Comic Sans MS" w:hAnsi="Comic Sans MS"/>
        </w:rPr>
      </w:pPr>
      <w:r>
        <w:rPr>
          <w:rFonts w:ascii="Comic Sans MS" w:hAnsi="Comic Sans MS"/>
        </w:rPr>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739"/>
        <w:gridCol w:w="967"/>
        <w:gridCol w:w="741"/>
        <w:gridCol w:w="739"/>
        <w:gridCol w:w="1576"/>
        <w:gridCol w:w="739"/>
        <w:gridCol w:w="1"/>
        <w:gridCol w:w="741"/>
        <w:gridCol w:w="1364"/>
        <w:gridCol w:w="744"/>
      </w:tblGrid>
      <w:tr>
        <w:trPr>
          <w:cantSplit w:val="false"/>
        </w:trPr>
        <w:tc>
          <w:tcPr>
            <w:tcW w:w="2447"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009900" w:val="clear"/>
            <w:tcMar>
              <w:left w:w="108" w:type="dxa"/>
            </w:tcMar>
          </w:tcPr>
          <w:p>
            <w:pPr>
              <w:pStyle w:val="Normal"/>
              <w:spacing w:before="0" w:after="0"/>
              <w:jc w:val="center"/>
              <w:rPr>
                <w:rFonts w:ascii="Comic Sans MS" w:hAnsi="Comic Sans MS"/>
              </w:rPr>
            </w:pPr>
            <w:r>
              <w:rPr>
                <w:rFonts w:ascii="Comic Sans MS" w:hAnsi="Comic Sans MS"/>
              </w:rPr>
              <w:t>TEMOIGNAGE 1</w:t>
            </w:r>
          </w:p>
        </w:tc>
        <w:tc>
          <w:tcPr>
            <w:tcW w:w="3055"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009900" w:val="clear"/>
            <w:tcMar>
              <w:left w:w="108" w:type="dxa"/>
            </w:tcMar>
          </w:tcPr>
          <w:p>
            <w:pPr>
              <w:pStyle w:val="Normal"/>
              <w:spacing w:before="0" w:after="0"/>
              <w:jc w:val="center"/>
              <w:rPr>
                <w:rFonts w:ascii="Comic Sans MS" w:hAnsi="Comic Sans MS"/>
              </w:rPr>
            </w:pPr>
            <w:r>
              <w:rPr>
                <w:rFonts w:ascii="Comic Sans MS" w:hAnsi="Comic Sans MS"/>
              </w:rPr>
              <w:t>TEMOIGNAGE 2</w:t>
            </w:r>
          </w:p>
        </w:tc>
        <w:tc>
          <w:tcPr>
            <w:tcW w:w="2849"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009900" w:val="clear"/>
            <w:tcMar>
              <w:left w:w="108" w:type="dxa"/>
            </w:tcMar>
          </w:tcPr>
          <w:p>
            <w:pPr>
              <w:pStyle w:val="Normal"/>
              <w:spacing w:before="0" w:after="0"/>
              <w:jc w:val="center"/>
              <w:rPr>
                <w:rFonts w:ascii="Comic Sans MS" w:hAnsi="Comic Sans MS"/>
              </w:rPr>
            </w:pPr>
            <w:r>
              <w:rPr>
                <w:rFonts w:ascii="Comic Sans MS" w:hAnsi="Comic Sans MS"/>
              </w:rPr>
              <w:t>TEMOIGNAGE 3</w:t>
            </w:r>
          </w:p>
        </w:tc>
      </w:tr>
      <w:tr>
        <w:trPr>
          <w:cantSplit w:val="false"/>
        </w:trPr>
        <w:tc>
          <w:tcPr>
            <w:tcW w:w="7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T1</w:t>
            </w:r>
          </w:p>
        </w:tc>
        <w:tc>
          <w:tcPr>
            <w:tcW w:w="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T1</w:t>
            </w:r>
          </w:p>
        </w:tc>
        <w:tc>
          <w:tcPr>
            <w:tcW w:w="7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T1</w:t>
            </w:r>
          </w:p>
        </w:tc>
        <w:tc>
          <w:tcPr>
            <w:tcW w:w="7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T2</w:t>
            </w:r>
          </w:p>
        </w:tc>
        <w:tc>
          <w:tcPr>
            <w:tcW w:w="15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T2</w:t>
            </w:r>
          </w:p>
        </w:tc>
        <w:tc>
          <w:tcPr>
            <w:tcW w:w="7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T2</w:t>
            </w:r>
          </w:p>
        </w:tc>
        <w:tc>
          <w:tcPr>
            <w:tcW w:w="74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T3</w:t>
            </w:r>
          </w:p>
        </w:tc>
        <w:tc>
          <w:tcPr>
            <w:tcW w:w="13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T3</w:t>
            </w:r>
          </w:p>
        </w:tc>
        <w:tc>
          <w:tcPr>
            <w:tcW w:w="74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T3</w:t>
            </w:r>
          </w:p>
        </w:tc>
      </w:tr>
    </w:tbl>
    <w:p>
      <w:pPr>
        <w:pStyle w:val="ListParagraph"/>
        <w:rPr>
          <w:rFonts w:ascii="Comic Sans MS" w:hAnsi="Comic Sans MS"/>
        </w:rPr>
      </w:pPr>
      <w:r>
        <w:rPr>
          <w:rFonts w:ascii="Comic Sans MS" w:hAnsi="Comic Sans MS"/>
        </w:rPr>
      </w:r>
    </w:p>
    <w:p>
      <w:pPr>
        <w:pStyle w:val="ListParagraph"/>
        <w:numPr>
          <w:ilvl w:val="0"/>
          <w:numId w:val="1"/>
        </w:numPr>
        <w:jc w:val="both"/>
        <w:rPr>
          <w:rFonts w:ascii="Comic Sans MS" w:hAnsi="Comic Sans MS"/>
        </w:rPr>
      </w:pPr>
      <w:r>
        <w:rPr>
          <w:rFonts w:ascii="Comic Sans MS" w:hAnsi="Comic Sans MS"/>
        </w:rPr>
        <w:t>un membre de chaque groupe reste assis à son îlot et jouera le rôle de rapporteur. Les deux autres membres joueront le rôle d’enquêteurs et iront chercher les informations relatives aux divers documents auprès des différents rapporteurs ;</w:t>
      </w:r>
    </w:p>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741"/>
        <w:gridCol w:w="967"/>
        <w:gridCol w:w="739"/>
        <w:gridCol w:w="740"/>
        <w:gridCol w:w="1576"/>
        <w:gridCol w:w="740"/>
        <w:gridCol w:w="742"/>
        <w:gridCol w:w="1364"/>
        <w:gridCol w:w="742"/>
      </w:tblGrid>
      <w:tr>
        <w:trPr>
          <w:cantSplit w:val="false"/>
        </w:trPr>
        <w:tc>
          <w:tcPr>
            <w:tcW w:w="2447"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9999FF" w:val="clear"/>
            <w:tcMar>
              <w:left w:w="108" w:type="dxa"/>
            </w:tcMar>
          </w:tcPr>
          <w:p>
            <w:pPr>
              <w:pStyle w:val="Normal"/>
              <w:spacing w:before="0" w:after="0"/>
              <w:jc w:val="center"/>
              <w:rPr>
                <w:rFonts w:ascii="Comic Sans MS" w:hAnsi="Comic Sans MS"/>
              </w:rPr>
            </w:pPr>
            <w:r>
              <w:rPr>
                <w:rFonts w:ascii="Comic Sans MS" w:hAnsi="Comic Sans MS"/>
              </w:rPr>
              <w:t>1</w:t>
            </w:r>
          </w:p>
        </w:tc>
        <w:tc>
          <w:tcPr>
            <w:tcW w:w="3056"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9999FF" w:val="clear"/>
            <w:tcMar>
              <w:left w:w="108" w:type="dxa"/>
            </w:tcMar>
          </w:tcPr>
          <w:p>
            <w:pPr>
              <w:pStyle w:val="Normal"/>
              <w:spacing w:before="0" w:after="0"/>
              <w:jc w:val="center"/>
              <w:rPr>
                <w:rFonts w:ascii="Comic Sans MS" w:hAnsi="Comic Sans MS"/>
              </w:rPr>
            </w:pPr>
            <w:r>
              <w:rPr>
                <w:rFonts w:ascii="Comic Sans MS" w:hAnsi="Comic Sans MS"/>
              </w:rPr>
              <w:t>2</w:t>
            </w:r>
          </w:p>
        </w:tc>
        <w:tc>
          <w:tcPr>
            <w:tcW w:w="2848"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9999FF" w:val="clear"/>
            <w:tcMar>
              <w:left w:w="108" w:type="dxa"/>
            </w:tcMar>
          </w:tcPr>
          <w:p>
            <w:pPr>
              <w:pStyle w:val="Normal"/>
              <w:spacing w:before="0" w:after="0"/>
              <w:jc w:val="center"/>
              <w:rPr>
                <w:rFonts w:ascii="Comic Sans MS" w:hAnsi="Comic Sans MS"/>
              </w:rPr>
            </w:pPr>
            <w:r>
              <w:rPr>
                <w:rFonts w:ascii="Comic Sans MS" w:hAnsi="Comic Sans MS"/>
              </w:rPr>
              <w:t>3</w:t>
            </w:r>
          </w:p>
        </w:tc>
      </w:tr>
      <w:tr>
        <w:trPr>
          <w:cantSplit w:val="false"/>
        </w:trPr>
        <w:tc>
          <w:tcPr>
            <w:tcW w:w="74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b/>
                <w:sz w:val="28"/>
              </w:rPr>
            </w:pPr>
            <w:r>
              <w:rPr>
                <w:rFonts w:ascii="Comic Sans MS" w:hAnsi="Comic Sans MS"/>
                <w:b/>
                <w:sz w:val="28"/>
              </w:rPr>
              <w:t>T1</w:t>
            </w:r>
          </w:p>
        </w:tc>
        <w:tc>
          <w:tcPr>
            <w:tcW w:w="96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T2</w:t>
            </w:r>
          </w:p>
        </w:tc>
        <w:tc>
          <w:tcPr>
            <w:tcW w:w="73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T3</w:t>
            </w:r>
          </w:p>
        </w:tc>
        <w:tc>
          <w:tcPr>
            <w:tcW w:w="7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b/>
                <w:sz w:val="28"/>
                <w:szCs w:val="28"/>
              </w:rPr>
            </w:pPr>
            <w:r>
              <w:rPr>
                <w:rFonts w:ascii="Comic Sans MS" w:hAnsi="Comic Sans MS"/>
                <w:b/>
                <w:sz w:val="28"/>
                <w:szCs w:val="28"/>
              </w:rPr>
              <w:t>T2</w:t>
            </w:r>
          </w:p>
        </w:tc>
        <w:tc>
          <w:tcPr>
            <w:tcW w:w="157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T1</w:t>
            </w:r>
          </w:p>
        </w:tc>
        <w:tc>
          <w:tcPr>
            <w:tcW w:w="7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T3</w:t>
            </w:r>
          </w:p>
        </w:tc>
        <w:tc>
          <w:tcPr>
            <w:tcW w:w="7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b/>
                <w:sz w:val="28"/>
                <w:szCs w:val="28"/>
              </w:rPr>
            </w:pPr>
            <w:r>
              <w:rPr>
                <w:rFonts w:ascii="Comic Sans MS" w:hAnsi="Comic Sans MS"/>
                <w:b/>
                <w:sz w:val="28"/>
                <w:szCs w:val="28"/>
              </w:rPr>
              <w:t>T3</w:t>
            </w:r>
          </w:p>
        </w:tc>
        <w:tc>
          <w:tcPr>
            <w:tcW w:w="1364"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T2</w:t>
            </w:r>
          </w:p>
        </w:tc>
        <w:tc>
          <w:tcPr>
            <w:tcW w:w="74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jc w:val="center"/>
              <w:rPr>
                <w:rFonts w:ascii="Comic Sans MS" w:hAnsi="Comic Sans MS"/>
              </w:rPr>
            </w:pPr>
            <w:r>
              <w:rPr>
                <w:rFonts w:ascii="Comic Sans MS" w:hAnsi="Comic Sans MS"/>
              </w:rPr>
              <w:t>T1</w:t>
            </w:r>
          </w:p>
        </w:tc>
      </w:tr>
    </w:tbl>
    <w:p>
      <w:pPr>
        <w:pStyle w:val="Normal"/>
        <w:rPr>
          <w:rFonts w:ascii="Comic Sans MS" w:hAnsi="Comic Sans MS"/>
        </w:rPr>
      </w:pPr>
      <w:r>
        <w:rPr>
          <w:rFonts w:ascii="Comic Sans MS" w:hAnsi="Comic Sans MS"/>
        </w:rPr>
      </w:r>
    </w:p>
    <w:p>
      <w:pPr>
        <w:pStyle w:val="ListParagraph"/>
        <w:numPr>
          <w:ilvl w:val="0"/>
          <w:numId w:val="1"/>
        </w:numPr>
        <w:spacing w:before="0" w:after="160"/>
        <w:contextualSpacing/>
        <w:rPr>
          <w:rFonts w:ascii="Comic Sans MS" w:hAnsi="Comic Sans MS"/>
          <w:color w:val="000000"/>
        </w:rPr>
      </w:pPr>
      <w:r>
        <w:rPr>
          <w:rFonts w:ascii="Comic Sans MS" w:hAnsi="Comic Sans MS"/>
          <w:color w:val="000000"/>
        </w:rPr>
        <w:t>chaque enquêteur retourne dans son groupe pour rendre compte des informations recueillies.</w:t>
      </w:r>
    </w:p>
    <w:sectPr>
      <w:footerReference w:type="default" r:id="rId2"/>
      <w:type w:val="nextPage"/>
      <w:pgSz w:w="11906" w:h="16838"/>
      <w:pgMar w:left="1134" w:right="1134" w:header="0" w:top="488" w:footer="1125" w:bottom="163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 w:name="Comic Sans MS">
    <w:charset w:val="01"/>
    <w:family w:val="script"/>
    <w:pitch w:val="default"/>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