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EC" w:rsidRDefault="000F5B35" w:rsidP="00DF53B5">
      <w:pPr>
        <w:pStyle w:val="Titre2"/>
        <w:jc w:val="center"/>
      </w:pPr>
      <w:r>
        <w:t>La</w:t>
      </w:r>
      <w:bookmarkStart w:id="0" w:name="_GoBack"/>
      <w:bookmarkEnd w:id="0"/>
      <w:r w:rsidR="00DE1610">
        <w:t xml:space="preserve"> </w:t>
      </w:r>
      <w:r w:rsidR="00FE1BEC">
        <w:t>tragédie à Athènes</w:t>
      </w:r>
    </w:p>
    <w:p w:rsidR="00FE1BEC" w:rsidRDefault="00FE1BEC" w:rsidP="00FE1BEC">
      <w:pPr>
        <w:pStyle w:val="Sansinterligne"/>
      </w:pPr>
    </w:p>
    <w:p w:rsidR="00F62C02" w:rsidRDefault="00F62C02" w:rsidP="00F62C02">
      <w:pPr>
        <w:pStyle w:val="Sansinterligne"/>
        <w:jc w:val="center"/>
      </w:pPr>
      <w:r>
        <w:t>PRÉSENTATION ET CORPUS DE TEXTES EN TRADUCTION</w:t>
      </w:r>
    </w:p>
    <w:p w:rsidR="00F62C02" w:rsidRDefault="00F62C02" w:rsidP="00FE1BEC">
      <w:pPr>
        <w:pStyle w:val="Sansinterligne"/>
      </w:pPr>
    </w:p>
    <w:p w:rsidR="00FE1BEC" w:rsidRDefault="00FE1BEC" w:rsidP="00FE1BEC">
      <w:pPr>
        <w:pStyle w:val="Titre3"/>
        <w:numPr>
          <w:ilvl w:val="0"/>
          <w:numId w:val="2"/>
        </w:numPr>
      </w:pPr>
      <w:r>
        <w:t>Présentation</w:t>
      </w:r>
    </w:p>
    <w:p w:rsidR="00FE1BEC" w:rsidRDefault="00FE1BEC" w:rsidP="00FA1101"/>
    <w:p w:rsidR="00FA1101" w:rsidRDefault="00596879" w:rsidP="00FA1101">
      <w:r>
        <w:t>Depuis Homère et jusqu’au milieu du 5</w:t>
      </w:r>
      <w:r w:rsidRPr="00596879">
        <w:rPr>
          <w:vertAlign w:val="superscript"/>
        </w:rPr>
        <w:t>e</w:t>
      </w:r>
      <w:r>
        <w:t xml:space="preserve"> siècle av. J.-C l</w:t>
      </w:r>
      <w:r w:rsidR="00FA1101">
        <w:t xml:space="preserve">a littérature grecque est écrite en vers. </w:t>
      </w:r>
      <w:r>
        <w:t xml:space="preserve">C’est le cas également de la tragédie, dont les pièces qui nous ont été conservées se concentrent toutes entre 472 (Eschyle, </w:t>
      </w:r>
      <w:r w:rsidRPr="00596879">
        <w:rPr>
          <w:i/>
        </w:rPr>
        <w:t>Les Perses</w:t>
      </w:r>
      <w:r>
        <w:t>) et 40</w:t>
      </w:r>
      <w:r w:rsidR="009E08A2">
        <w:t>1</w:t>
      </w:r>
      <w:r>
        <w:t xml:space="preserve"> (</w:t>
      </w:r>
      <w:r w:rsidR="009E08A2" w:rsidRPr="009E08A2">
        <w:rPr>
          <w:i/>
        </w:rPr>
        <w:t>Œdipe à Colone</w:t>
      </w:r>
      <w:r w:rsidR="009E08A2">
        <w:t xml:space="preserve"> de Sophocle, joué après sa mort</w:t>
      </w:r>
      <w:r>
        <w:t xml:space="preserve">). On notera donc que les réflexions d’Aristote qui ont joué un si grand </w:t>
      </w:r>
      <w:r w:rsidR="002C7BD2">
        <w:t>rôle</w:t>
      </w:r>
      <w:r>
        <w:t xml:space="preserve"> dans l’esthétique du </w:t>
      </w:r>
      <w:r w:rsidR="002C7BD2">
        <w:t>genre</w:t>
      </w:r>
      <w:r>
        <w:t xml:space="preserve"> au 17</w:t>
      </w:r>
      <w:r w:rsidRPr="00596879">
        <w:rPr>
          <w:vertAlign w:val="superscript"/>
        </w:rPr>
        <w:t>e</w:t>
      </w:r>
      <w:r>
        <w:t xml:space="preserve"> s</w:t>
      </w:r>
      <w:r w:rsidR="002C7BD2">
        <w:t>.</w:t>
      </w:r>
      <w:r>
        <w:t xml:space="preserve"> français </w:t>
      </w:r>
      <w:r w:rsidR="002C7BD2">
        <w:t>sont postérieures aux pièces elles-mêmes</w:t>
      </w:r>
      <w:r w:rsidR="00882469">
        <w:t>,</w:t>
      </w:r>
      <w:r w:rsidR="002C7BD2">
        <w:t xml:space="preserve"> probablement d’un demi-siècle au moins (Aristote est né en 384 et mort en 322). </w:t>
      </w:r>
    </w:p>
    <w:p w:rsidR="002C7BD2" w:rsidRDefault="00980025" w:rsidP="00FA1101">
      <w:r>
        <w:t xml:space="preserve">Sur l’origine de la tragédie l’obscurité demeure (voir la bibliographie ci-dessous), de même que sur le sens étymologique du mot : </w:t>
      </w:r>
      <w:r w:rsidRPr="00980025">
        <w:rPr>
          <w:i/>
        </w:rPr>
        <w:t>trag</w:t>
      </w:r>
      <w:r w:rsidR="00E22187">
        <w:rPr>
          <w:i/>
        </w:rPr>
        <w:t xml:space="preserve"> </w:t>
      </w:r>
      <w:r w:rsidRPr="00980025">
        <w:rPr>
          <w:i/>
        </w:rPr>
        <w:t>- ôdia</w:t>
      </w:r>
      <w:r>
        <w:t xml:space="preserve"> = chant du bouc, ou sur le bouc, ou chanté par des personnages déguisés en bouc, ou récompensé par l’offrande d’un bouc ? Le problème est qu’aucun bouc n’</w:t>
      </w:r>
      <w:r w:rsidR="00CC1CA2">
        <w:t>apparait ailleurs que dans c</w:t>
      </w:r>
      <w:r>
        <w:t>e mot lui-même au cours des différentes pièces.</w:t>
      </w:r>
      <w:r w:rsidR="00E22187">
        <w:t xml:space="preserve"> Constatons avec Suzanne Saïd</w:t>
      </w:r>
      <w:r w:rsidR="00CC1CA2">
        <w:rPr>
          <w:rStyle w:val="Appelnotedebasdep"/>
        </w:rPr>
        <w:footnoteReference w:id="1"/>
      </w:r>
      <w:r w:rsidR="00E22187">
        <w:t xml:space="preserve"> que Platon voyait en Homère le père de la tragédie, ce que l’orateur Isocrate </w:t>
      </w:r>
      <w:r w:rsidR="00CC1CA2">
        <w:t>(436-338) développe ainsi : « </w:t>
      </w:r>
      <w:r w:rsidR="00CC1CA2" w:rsidRPr="00CC1CA2">
        <w:t>Homère a représenté dans ses fictions les combats et les guerres des demi-dieux ; les poètes tragiques ont transporté ces mêmes fictions sur la scène en récits et en actions, de manière à nous rendre à la fois auditeurs et spectateurs.</w:t>
      </w:r>
      <w:r w:rsidR="00CC1CA2">
        <w:t> »</w:t>
      </w:r>
      <w:r w:rsidR="00CC1CA2">
        <w:rPr>
          <w:rStyle w:val="Appelnotedebasdep"/>
        </w:rPr>
        <w:footnoteReference w:id="2"/>
      </w:r>
      <w:r w:rsidR="00CC1CA2">
        <w:t xml:space="preserve"> </w:t>
      </w:r>
    </w:p>
    <w:p w:rsidR="002C3792" w:rsidRDefault="009E08A2" w:rsidP="00FA1101">
      <w:r>
        <w:t>Ce qui est plus sûr, c’est que la tragédie est en rapport avec la démocratie athénienne : elle est jouée devant le peuple, une seule fois normalement, au moment de grandes fêtes civiques où se déroulent d’autres types de manifestations. Elle a lieu à Athènes dans le théâtre de Dionysos, au pied de l’Acropole</w:t>
      </w:r>
      <w:r w:rsidR="00A22C69">
        <w:t>, et prend la forme d’une compétition entre auteurs avec premier, deuxième et troisième prix.</w:t>
      </w:r>
      <w:r>
        <w:t xml:space="preserve"> Le spectacle met en relation la collectivité, représentée par le chœur, et les héros, individus nommés et reconnaissables.</w:t>
      </w:r>
      <w:r w:rsidR="005335C5">
        <w:t xml:space="preserve"> Au fil des décennies le rôle du chœur s’amenuise, mais l</w:t>
      </w:r>
      <w:r>
        <w:t xml:space="preserve">e texte fait </w:t>
      </w:r>
      <w:r w:rsidR="005335C5">
        <w:t xml:space="preserve">toujours </w:t>
      </w:r>
      <w:r>
        <w:t xml:space="preserve">alterner les parties chantées par le chœur et les passages parlés, entre personnages ou entre les personnages et le chef du chœur, le </w:t>
      </w:r>
      <w:r w:rsidR="00226D94">
        <w:t>coryphée</w:t>
      </w:r>
      <w:r>
        <w:t xml:space="preserve">. L’ordre habituel des parties est : </w:t>
      </w:r>
    </w:p>
    <w:p w:rsidR="002C3792" w:rsidRDefault="002C3792" w:rsidP="002C3792">
      <w:pPr>
        <w:pStyle w:val="Paragraphedeliste"/>
        <w:numPr>
          <w:ilvl w:val="0"/>
          <w:numId w:val="3"/>
        </w:numPr>
      </w:pPr>
      <w:r>
        <w:t>un prologue (parlé)</w:t>
      </w:r>
    </w:p>
    <w:p w:rsidR="002C3792" w:rsidRDefault="002C3792" w:rsidP="002C3792">
      <w:pPr>
        <w:pStyle w:val="Paragraphedeliste"/>
        <w:numPr>
          <w:ilvl w:val="0"/>
          <w:numId w:val="3"/>
        </w:numPr>
      </w:pPr>
      <w:r>
        <w:t xml:space="preserve">l’entrée du chœur = </w:t>
      </w:r>
      <w:r w:rsidRPr="00325966">
        <w:rPr>
          <w:i/>
        </w:rPr>
        <w:t>parodos</w:t>
      </w:r>
      <w:r>
        <w:t xml:space="preserve"> (chantée)</w:t>
      </w:r>
    </w:p>
    <w:p w:rsidR="002C3792" w:rsidRDefault="002C3792" w:rsidP="002C3792">
      <w:pPr>
        <w:pStyle w:val="Paragraphedeliste"/>
        <w:numPr>
          <w:ilvl w:val="0"/>
          <w:numId w:val="3"/>
        </w:numPr>
      </w:pPr>
      <w:r>
        <w:t>une série alternée d’épisodes parlés et de chants du chœur (</w:t>
      </w:r>
      <w:r w:rsidRPr="00325966">
        <w:rPr>
          <w:i/>
        </w:rPr>
        <w:t>stasimon</w:t>
      </w:r>
      <w:r>
        <w:t>)</w:t>
      </w:r>
    </w:p>
    <w:p w:rsidR="002C3792" w:rsidRDefault="002C3792" w:rsidP="002C3792">
      <w:pPr>
        <w:pStyle w:val="Paragraphedeliste"/>
        <w:numPr>
          <w:ilvl w:val="0"/>
          <w:numId w:val="3"/>
        </w:numPr>
      </w:pPr>
      <w:r>
        <w:t xml:space="preserve">la sortie finale des personnages </w:t>
      </w:r>
      <w:r w:rsidR="00325966">
        <w:t xml:space="preserve">et du chœur </w:t>
      </w:r>
      <w:r>
        <w:t xml:space="preserve">= </w:t>
      </w:r>
      <w:r w:rsidRPr="00325966">
        <w:rPr>
          <w:i/>
        </w:rPr>
        <w:t>exodos</w:t>
      </w:r>
      <w:r>
        <w:t xml:space="preserve">. </w:t>
      </w:r>
    </w:p>
    <w:p w:rsidR="002C3792" w:rsidRDefault="002C3792" w:rsidP="002C3792"/>
    <w:p w:rsidR="00FA1101" w:rsidRDefault="002C3792" w:rsidP="00FA1101">
      <w:r>
        <w:t>Des deux cents auteurs</w:t>
      </w:r>
      <w:r w:rsidR="003D35E1">
        <w:t xml:space="preserve"> de tragédies</w:t>
      </w:r>
      <w:r>
        <w:t xml:space="preserve"> cités par la tradition entre le 5</w:t>
      </w:r>
      <w:r w:rsidRPr="002C3792">
        <w:rPr>
          <w:vertAlign w:val="superscript"/>
        </w:rPr>
        <w:t>e</w:t>
      </w:r>
      <w:r>
        <w:t xml:space="preserve"> s. av. J.-C. et le 5</w:t>
      </w:r>
      <w:r w:rsidRPr="002C3792">
        <w:rPr>
          <w:vertAlign w:val="superscript"/>
        </w:rPr>
        <w:t>e</w:t>
      </w:r>
      <w:r>
        <w:t xml:space="preserve"> siècle après, il ne reste de textes complets que des trois auteurs bien connus</w:t>
      </w:r>
      <w:r w:rsidR="003D35E1">
        <w:t>,</w:t>
      </w:r>
      <w:r>
        <w:t xml:space="preserve"> Eschyle, Sophocle et Euripide</w:t>
      </w:r>
      <w:r w:rsidR="003D35E1">
        <w:t>, au total 31 pièces !</w:t>
      </w:r>
    </w:p>
    <w:p w:rsidR="00FA1101" w:rsidRDefault="00FA1101" w:rsidP="00FA1101"/>
    <w:p w:rsidR="00FE1BEC" w:rsidRDefault="00FE1BEC" w:rsidP="00FE1BEC">
      <w:pPr>
        <w:pStyle w:val="Titre3"/>
        <w:numPr>
          <w:ilvl w:val="0"/>
          <w:numId w:val="2"/>
        </w:numPr>
      </w:pPr>
      <w:r>
        <w:t>Les auteurs</w:t>
      </w:r>
      <w:r w:rsidR="00F31401">
        <w:t xml:space="preserve"> et les oeuvres</w:t>
      </w:r>
    </w:p>
    <w:p w:rsidR="00FA1101" w:rsidRDefault="00A22C69" w:rsidP="00A22C69">
      <w:pPr>
        <w:pStyle w:val="Titre4"/>
        <w:numPr>
          <w:ilvl w:val="0"/>
          <w:numId w:val="4"/>
        </w:numPr>
      </w:pPr>
      <w:r>
        <w:t>Eschyle</w:t>
      </w:r>
    </w:p>
    <w:p w:rsidR="00A22C69" w:rsidRDefault="00A22C69" w:rsidP="00A22C69">
      <w:r>
        <w:t xml:space="preserve">Des 73 ou 90 pièces attribuées par la tradition à Eschyle (525 – 456) il ne nous en reste que sept complètes. Mais la première d’entre elles, </w:t>
      </w:r>
      <w:r w:rsidRPr="00A22C69">
        <w:rPr>
          <w:i/>
        </w:rPr>
        <w:t>Les Perses</w:t>
      </w:r>
      <w:r>
        <w:t xml:space="preserve">, présente l’originalité de traiter un sujet d’actualité : la défaite des Perses à Salamine face à la flotte grecque en 480, une bataille à laquelle l’auteur a lui-même participé. La dernière œuvre présentée par lui fut </w:t>
      </w:r>
      <w:r w:rsidRPr="00882469">
        <w:rPr>
          <w:i/>
        </w:rPr>
        <w:t>l’Orestie</w:t>
      </w:r>
      <w:r>
        <w:t xml:space="preserve"> (458), dont la particularité est d’être la</w:t>
      </w:r>
      <w:r w:rsidR="00CD468D">
        <w:t xml:space="preserve"> </w:t>
      </w:r>
      <w:r>
        <w:t xml:space="preserve">seule trilogie que nous ayons conservée : elle comprend successivement </w:t>
      </w:r>
      <w:r w:rsidRPr="00CD468D">
        <w:rPr>
          <w:i/>
        </w:rPr>
        <w:t>Agamemnon</w:t>
      </w:r>
      <w:r>
        <w:t xml:space="preserve">, qui raconte le retour du héros après la guerre de </w:t>
      </w:r>
      <w:r w:rsidR="00CD468D">
        <w:t>Troie</w:t>
      </w:r>
      <w:r>
        <w:t xml:space="preserve"> et son assassinat par son épouse Clytemnestre, puis </w:t>
      </w:r>
      <w:r w:rsidRPr="00CD468D">
        <w:rPr>
          <w:i/>
        </w:rPr>
        <w:t>Les Choéphores</w:t>
      </w:r>
      <w:r>
        <w:t xml:space="preserve">, </w:t>
      </w:r>
      <w:r w:rsidR="00CD468D">
        <w:t xml:space="preserve">où Électre et Oreste préparent puis exécutent le meurtre de leur mère, enfin </w:t>
      </w:r>
      <w:r w:rsidR="00CD468D" w:rsidRPr="00CD468D">
        <w:rPr>
          <w:i/>
        </w:rPr>
        <w:t>Les Euménides</w:t>
      </w:r>
      <w:r w:rsidR="00CD468D">
        <w:rPr>
          <w:i/>
        </w:rPr>
        <w:t xml:space="preserve"> </w:t>
      </w:r>
      <w:r w:rsidR="00CD468D">
        <w:t>mettant en scène les poursuites exercées contre Oreste et son acquittement par les citoyens d’Athènes à l’instigation d’Athéna.</w:t>
      </w:r>
    </w:p>
    <w:p w:rsidR="00CD468D" w:rsidRPr="00CD468D" w:rsidRDefault="00CD468D" w:rsidP="00A22C69">
      <w:r>
        <w:t xml:space="preserve">Parmi les autres titres </w:t>
      </w:r>
      <w:r w:rsidRPr="00CD468D">
        <w:rPr>
          <w:i/>
        </w:rPr>
        <w:t>Les Sept contre Thèbes</w:t>
      </w:r>
      <w:r>
        <w:t xml:space="preserve"> illustre l’affrontement entre les fils d’Œdipe après la mort de celui-ci.</w:t>
      </w:r>
    </w:p>
    <w:p w:rsidR="00A22C69" w:rsidRDefault="00440021" w:rsidP="00A22C69">
      <w:r>
        <w:t xml:space="preserve">Le reste de l’œuvre conservée se constitue de </w:t>
      </w:r>
      <w:r w:rsidRPr="00440021">
        <w:rPr>
          <w:i/>
        </w:rPr>
        <w:t>Prométhée enchainé</w:t>
      </w:r>
      <w:r>
        <w:t xml:space="preserve">, </w:t>
      </w:r>
      <w:r w:rsidRPr="00440021">
        <w:rPr>
          <w:i/>
        </w:rPr>
        <w:t>Les Perses</w:t>
      </w:r>
      <w:r>
        <w:t xml:space="preserve">, </w:t>
      </w:r>
      <w:r w:rsidRPr="00440021">
        <w:rPr>
          <w:i/>
        </w:rPr>
        <w:t>Les Suppliantes</w:t>
      </w:r>
      <w:r>
        <w:t>.</w:t>
      </w:r>
    </w:p>
    <w:p w:rsidR="00A22C69" w:rsidRDefault="00CD468D" w:rsidP="00CD468D">
      <w:pPr>
        <w:pStyle w:val="Titre4"/>
        <w:numPr>
          <w:ilvl w:val="0"/>
          <w:numId w:val="4"/>
        </w:numPr>
      </w:pPr>
      <w:r>
        <w:lastRenderedPageBreak/>
        <w:t>Sophocle</w:t>
      </w:r>
    </w:p>
    <w:p w:rsidR="00FA1101" w:rsidRDefault="007858F1" w:rsidP="00FE1BEC">
      <w:r>
        <w:t xml:space="preserve">L’auteur tragique le plus célèbre (né en 497, mort en 405) écrivit parait-il 123 pièces, dont sept subsistent aujourd’hui. </w:t>
      </w:r>
      <w:r w:rsidR="00882469">
        <w:t>T</w:t>
      </w:r>
      <w:r>
        <w:t xml:space="preserve">rois </w:t>
      </w:r>
      <w:r w:rsidR="00882469">
        <w:t xml:space="preserve">sont </w:t>
      </w:r>
      <w:r>
        <w:t xml:space="preserve">consacrées au mythe d’Œdipe : </w:t>
      </w:r>
      <w:r w:rsidRPr="007858F1">
        <w:rPr>
          <w:i/>
        </w:rPr>
        <w:t>Œdipe-Roi</w:t>
      </w:r>
      <w:r>
        <w:t xml:space="preserve"> qui présente la découverte par Œdipe de ses crimes involontaires et les conséquences directes de cette révélation, </w:t>
      </w:r>
      <w:r w:rsidRPr="007858F1">
        <w:rPr>
          <w:i/>
        </w:rPr>
        <w:t>Œdipe à Colone</w:t>
      </w:r>
      <w:r>
        <w:t xml:space="preserve"> qui met en scène l’exil d’Œdipe à Athènes, et </w:t>
      </w:r>
      <w:r w:rsidRPr="007858F1">
        <w:rPr>
          <w:i/>
        </w:rPr>
        <w:t>Antigone</w:t>
      </w:r>
      <w:r>
        <w:t xml:space="preserve"> où l’héroïne meurt pour avoir donné une sépulture à Polynice, fils indigne d’Œdipe. A noter que ces trois pièces furent créées à des dates très différentes : 441 pour la dernière, vers 420 pour la première et 401 pour la seconde. </w:t>
      </w:r>
    </w:p>
    <w:p w:rsidR="007858F1" w:rsidRDefault="00D66E04" w:rsidP="00FE1BEC">
      <w:r>
        <w:t>Parmi</w:t>
      </w:r>
      <w:r w:rsidR="007858F1">
        <w:t xml:space="preserve"> les autres pièces on signalera </w:t>
      </w:r>
      <w:r w:rsidRPr="00D66E04">
        <w:rPr>
          <w:i/>
        </w:rPr>
        <w:t>Électre</w:t>
      </w:r>
      <w:r>
        <w:t xml:space="preserve"> (date inconnue) qui traite une partie du mythe des Atrides </w:t>
      </w:r>
      <w:r w:rsidR="00882469">
        <w:t>: Oreste</w:t>
      </w:r>
      <w:r>
        <w:t xml:space="preserve"> à l’instigation de sa sœur </w:t>
      </w:r>
      <w:r w:rsidR="00A65351">
        <w:t>tu</w:t>
      </w:r>
      <w:r>
        <w:t xml:space="preserve">e leur mère Clytemnestre. </w:t>
      </w:r>
    </w:p>
    <w:p w:rsidR="00FA1101" w:rsidRDefault="00440021" w:rsidP="00FA1101">
      <w:r>
        <w:t xml:space="preserve">Les autres pièces conservées sont </w:t>
      </w:r>
      <w:r w:rsidRPr="00440021">
        <w:rPr>
          <w:i/>
        </w:rPr>
        <w:t>Ajax</w:t>
      </w:r>
      <w:r>
        <w:t xml:space="preserve">, </w:t>
      </w:r>
      <w:r w:rsidRPr="00440021">
        <w:rPr>
          <w:i/>
        </w:rPr>
        <w:t>Les Trachiniennes</w:t>
      </w:r>
      <w:r>
        <w:t xml:space="preserve">, </w:t>
      </w:r>
      <w:r w:rsidRPr="00440021">
        <w:rPr>
          <w:i/>
        </w:rPr>
        <w:t>Philoctète</w:t>
      </w:r>
      <w:r>
        <w:t>.</w:t>
      </w:r>
    </w:p>
    <w:p w:rsidR="00D66E04" w:rsidRDefault="00D66E04" w:rsidP="00FA1101"/>
    <w:p w:rsidR="00D66E04" w:rsidRDefault="00D66E04" w:rsidP="00D66E04">
      <w:pPr>
        <w:pStyle w:val="Titre4"/>
        <w:numPr>
          <w:ilvl w:val="0"/>
          <w:numId w:val="4"/>
        </w:numPr>
      </w:pPr>
      <w:r>
        <w:t>Euripide</w:t>
      </w:r>
    </w:p>
    <w:p w:rsidR="004713CF" w:rsidRDefault="00D66E04" w:rsidP="00FA1101">
      <w:r>
        <w:t>C’est l’auteur</w:t>
      </w:r>
      <w:r w:rsidR="004713CF">
        <w:t xml:space="preserve"> (484-406)</w:t>
      </w:r>
      <w:r>
        <w:t xml:space="preserve"> dont les pièces ont été conservées en plus grand nombre : 17 tragédies sur un total de 92. Considérée comme un modèle son oeuvre fut</w:t>
      </w:r>
      <w:r w:rsidR="00435A31">
        <w:t>,</w:t>
      </w:r>
      <w:r>
        <w:t xml:space="preserve"> dès après sa mort</w:t>
      </w:r>
      <w:r w:rsidR="00435A31">
        <w:t>,</w:t>
      </w:r>
      <w:r>
        <w:t xml:space="preserve"> éditée et rejouée, puis intégrée dans l’enseignement, ce qui explique cette survie. </w:t>
      </w:r>
    </w:p>
    <w:p w:rsidR="00D66E04" w:rsidRDefault="00D66E04" w:rsidP="001A44F0">
      <w:r>
        <w:t>Ce fut également le plus imité par les auteurs européens</w:t>
      </w:r>
      <w:r w:rsidR="00692D00">
        <w:t> :</w:t>
      </w:r>
      <w:r w:rsidR="001A44F0">
        <w:t xml:space="preserve"> </w:t>
      </w:r>
      <w:r w:rsidR="004713CF">
        <w:t xml:space="preserve">Racine a lu Euripide pour composer </w:t>
      </w:r>
      <w:r w:rsidR="00692D00" w:rsidRPr="00692D00">
        <w:rPr>
          <w:i/>
        </w:rPr>
        <w:t>La Thébaïde</w:t>
      </w:r>
      <w:r w:rsidR="00692D00">
        <w:t xml:space="preserve">, </w:t>
      </w:r>
      <w:r w:rsidR="00692D00" w:rsidRPr="00692D00">
        <w:rPr>
          <w:i/>
        </w:rPr>
        <w:t>Andromaque</w:t>
      </w:r>
      <w:r w:rsidR="00692D00">
        <w:t xml:space="preserve">, </w:t>
      </w:r>
      <w:r w:rsidR="00692D00" w:rsidRPr="00692D00">
        <w:rPr>
          <w:i/>
        </w:rPr>
        <w:t>Iphigénie</w:t>
      </w:r>
      <w:r w:rsidR="00692D00">
        <w:t xml:space="preserve"> et </w:t>
      </w:r>
      <w:r w:rsidR="00692D00" w:rsidRPr="00692D00">
        <w:rPr>
          <w:i/>
        </w:rPr>
        <w:t>Phèdre</w:t>
      </w:r>
      <w:r w:rsidR="00692D00">
        <w:t xml:space="preserve">. </w:t>
      </w:r>
    </w:p>
    <w:p w:rsidR="00692D00" w:rsidRDefault="00692D00" w:rsidP="00692D00">
      <w:pPr>
        <w:pStyle w:val="Paragraphedeliste"/>
        <w:numPr>
          <w:ilvl w:val="0"/>
          <w:numId w:val="3"/>
        </w:numPr>
      </w:pPr>
      <w:r w:rsidRPr="00692D00">
        <w:rPr>
          <w:i/>
        </w:rPr>
        <w:t>Médée</w:t>
      </w:r>
      <w:r w:rsidR="0074616A">
        <w:t> :</w:t>
      </w:r>
      <w:r>
        <w:t xml:space="preserve"> Sénèque</w:t>
      </w:r>
      <w:r w:rsidR="001A44F0">
        <w:t xml:space="preserve"> (1</w:t>
      </w:r>
      <w:r w:rsidR="001A44F0" w:rsidRPr="006A3AB0">
        <w:rPr>
          <w:vertAlign w:val="superscript"/>
        </w:rPr>
        <w:t>er</w:t>
      </w:r>
      <w:r w:rsidR="001A44F0">
        <w:t xml:space="preserve"> s. ap. J.-C.)</w:t>
      </w:r>
      <w:r w:rsidR="00D37F1D">
        <w:t>,</w:t>
      </w:r>
      <w:r>
        <w:t xml:space="preserve"> Corneille</w:t>
      </w:r>
      <w:r w:rsidR="009C4119">
        <w:t xml:space="preserve"> (1635)</w:t>
      </w:r>
      <w:r>
        <w:t>, Anouilh</w:t>
      </w:r>
      <w:r w:rsidR="00D37F1D">
        <w:t xml:space="preserve"> (1946)</w:t>
      </w:r>
      <w:r>
        <w:t>, Botho Strauss (</w:t>
      </w:r>
      <w:r w:rsidRPr="009C4119">
        <w:rPr>
          <w:i/>
        </w:rPr>
        <w:t>Le temps et l’</w:t>
      </w:r>
      <w:r w:rsidR="00D37F1D" w:rsidRPr="009C4119">
        <w:rPr>
          <w:i/>
        </w:rPr>
        <w:t>ombre</w:t>
      </w:r>
      <w:r w:rsidR="00D37F1D">
        <w:t>, 1988), Christa Wolf</w:t>
      </w:r>
      <w:r>
        <w:t xml:space="preserve"> (</w:t>
      </w:r>
      <w:r w:rsidR="00D37F1D">
        <w:t xml:space="preserve">1996), </w:t>
      </w:r>
      <w:r w:rsidR="00435A31">
        <w:t>Max Rouquette (2003) ; au</w:t>
      </w:r>
      <w:r w:rsidR="00FC6D9F">
        <w:t xml:space="preserve"> cinéma Pasolini (196</w:t>
      </w:r>
      <w:r w:rsidR="00435A31">
        <w:t>9</w:t>
      </w:r>
      <w:r w:rsidR="00FC6D9F">
        <w:t xml:space="preserve">), </w:t>
      </w:r>
      <w:r w:rsidR="00D37F1D">
        <w:t xml:space="preserve">à l’opéra Charpentier (1693), Cherubini (1797), Milhaud (1939). </w:t>
      </w:r>
    </w:p>
    <w:p w:rsidR="009C4119" w:rsidRDefault="009C4119" w:rsidP="00692D00">
      <w:pPr>
        <w:pStyle w:val="Paragraphedeliste"/>
        <w:numPr>
          <w:ilvl w:val="0"/>
          <w:numId w:val="3"/>
        </w:numPr>
      </w:pPr>
      <w:r w:rsidRPr="009C4119">
        <w:rPr>
          <w:i/>
        </w:rPr>
        <w:t>Alceste</w:t>
      </w:r>
      <w:r w:rsidR="0074616A">
        <w:t> :</w:t>
      </w:r>
      <w:r w:rsidRPr="009C4119">
        <w:t xml:space="preserve"> à l’opéra Lully (1674)</w:t>
      </w:r>
      <w:r>
        <w:t xml:space="preserve"> et Gluck (1767).</w:t>
      </w:r>
    </w:p>
    <w:p w:rsidR="009C4119" w:rsidRDefault="009C4119" w:rsidP="00692D00">
      <w:pPr>
        <w:pStyle w:val="Paragraphedeliste"/>
        <w:numPr>
          <w:ilvl w:val="0"/>
          <w:numId w:val="3"/>
        </w:numPr>
      </w:pPr>
      <w:r w:rsidRPr="0074616A">
        <w:rPr>
          <w:i/>
        </w:rPr>
        <w:t>Hippolyte</w:t>
      </w:r>
      <w:r w:rsidR="0074616A">
        <w:t> :</w:t>
      </w:r>
      <w:r>
        <w:t xml:space="preserve"> </w:t>
      </w:r>
      <w:r w:rsidRPr="009C4119">
        <w:rPr>
          <w:i/>
        </w:rPr>
        <w:t>Phèdre</w:t>
      </w:r>
      <w:r>
        <w:t xml:space="preserve"> de Sénèque et </w:t>
      </w:r>
      <w:r w:rsidR="00882469">
        <w:t xml:space="preserve">de </w:t>
      </w:r>
      <w:r>
        <w:t xml:space="preserve">Racine, </w:t>
      </w:r>
      <w:r w:rsidRPr="009C4119">
        <w:rPr>
          <w:i/>
        </w:rPr>
        <w:t>Phèdre et Hippolyte</w:t>
      </w:r>
      <w:r>
        <w:t xml:space="preserve"> de Robert Garnier (1573), </w:t>
      </w:r>
      <w:r w:rsidR="00FC6D9F">
        <w:t xml:space="preserve">et l’opéra </w:t>
      </w:r>
      <w:r w:rsidRPr="009C4119">
        <w:rPr>
          <w:i/>
        </w:rPr>
        <w:t>Hippolyte et Aricie</w:t>
      </w:r>
      <w:r>
        <w:t xml:space="preserve"> de Rameau (1733).</w:t>
      </w:r>
    </w:p>
    <w:p w:rsidR="0074616A" w:rsidRDefault="0074616A" w:rsidP="00692D00">
      <w:pPr>
        <w:pStyle w:val="Paragraphedeliste"/>
        <w:numPr>
          <w:ilvl w:val="0"/>
          <w:numId w:val="3"/>
        </w:numPr>
      </w:pPr>
      <w:r w:rsidRPr="0074616A">
        <w:rPr>
          <w:i/>
        </w:rPr>
        <w:t>Hélène</w:t>
      </w:r>
      <w:r>
        <w:t xml:space="preserve"> : </w:t>
      </w:r>
      <w:r w:rsidRPr="0074616A">
        <w:rPr>
          <w:i/>
        </w:rPr>
        <w:t>Sonnets pour Hélène</w:t>
      </w:r>
      <w:r>
        <w:t xml:space="preserve"> de Ronsard (1578), opéra </w:t>
      </w:r>
      <w:r w:rsidRPr="0074616A">
        <w:rPr>
          <w:i/>
        </w:rPr>
        <w:t>Hélène d’Égypte</w:t>
      </w:r>
      <w:r>
        <w:t xml:space="preserve"> de Richard Strauss (1926), opérette </w:t>
      </w:r>
      <w:r w:rsidRPr="0074616A">
        <w:rPr>
          <w:i/>
        </w:rPr>
        <w:t>La Belle Hélène</w:t>
      </w:r>
      <w:r>
        <w:t xml:space="preserve"> d’Offenbach (1864)</w:t>
      </w:r>
    </w:p>
    <w:p w:rsidR="0074616A" w:rsidRDefault="00350B53" w:rsidP="00692D00">
      <w:pPr>
        <w:pStyle w:val="Paragraphedeliste"/>
        <w:numPr>
          <w:ilvl w:val="0"/>
          <w:numId w:val="3"/>
        </w:numPr>
      </w:pPr>
      <w:r w:rsidRPr="00350B53">
        <w:rPr>
          <w:i/>
        </w:rPr>
        <w:t>Électre</w:t>
      </w:r>
      <w:r>
        <w:t xml:space="preserve"> et </w:t>
      </w:r>
      <w:r w:rsidRPr="00350B53">
        <w:rPr>
          <w:i/>
        </w:rPr>
        <w:t>Oreste</w:t>
      </w:r>
      <w:r>
        <w:t xml:space="preserve"> traitent des parties du mythe des Atrides, reprises notamment par Crébillon (1708), O’Neill (1929)</w:t>
      </w:r>
      <w:r w:rsidR="00D96FCA">
        <w:t>,</w:t>
      </w:r>
      <w:r>
        <w:t xml:space="preserve"> Giraudoux (1937)</w:t>
      </w:r>
      <w:r w:rsidR="00D96FCA">
        <w:t xml:space="preserve"> et Sartre (1942)</w:t>
      </w:r>
      <w:r>
        <w:t xml:space="preserve"> au théâtre, Richard Strauss à l’opéra (</w:t>
      </w:r>
      <w:r w:rsidR="00882469" w:rsidRPr="00882469">
        <w:rPr>
          <w:i/>
        </w:rPr>
        <w:t>Elektra</w:t>
      </w:r>
      <w:r w:rsidR="00882469">
        <w:t xml:space="preserve">, </w:t>
      </w:r>
      <w:r w:rsidRPr="00882469">
        <w:t>1909</w:t>
      </w:r>
      <w:r>
        <w:t>) et Cacoyannis au cinéma (1962).</w:t>
      </w:r>
    </w:p>
    <w:p w:rsidR="00441842" w:rsidRDefault="00441842" w:rsidP="00692D00">
      <w:pPr>
        <w:pStyle w:val="Paragraphedeliste"/>
        <w:numPr>
          <w:ilvl w:val="0"/>
          <w:numId w:val="3"/>
        </w:numPr>
      </w:pPr>
      <w:r w:rsidRPr="00441842">
        <w:t xml:space="preserve">De même </w:t>
      </w:r>
      <w:r w:rsidRPr="00441842">
        <w:rPr>
          <w:i/>
        </w:rPr>
        <w:t>Iphigénie à Aulis</w:t>
      </w:r>
      <w:r w:rsidRPr="00441842">
        <w:t xml:space="preserve"> et </w:t>
      </w:r>
      <w:r w:rsidRPr="00441842">
        <w:rPr>
          <w:i/>
        </w:rPr>
        <w:t>Iphigénie en Tauride</w:t>
      </w:r>
      <w:r>
        <w:rPr>
          <w:i/>
        </w:rPr>
        <w:t> </w:t>
      </w:r>
      <w:r>
        <w:t xml:space="preserve">: au théâtre </w:t>
      </w:r>
      <w:r w:rsidR="00D96FCA">
        <w:t>Racine</w:t>
      </w:r>
      <w:r w:rsidR="00435A31">
        <w:t xml:space="preserve"> (1674)</w:t>
      </w:r>
      <w:r w:rsidR="00D96FCA">
        <w:t xml:space="preserve"> et </w:t>
      </w:r>
      <w:r>
        <w:t>Goethe (1784), à l’opéra Gluck (1774 et 1779)</w:t>
      </w:r>
    </w:p>
    <w:p w:rsidR="00441842" w:rsidRDefault="006A3AB0" w:rsidP="00692D00">
      <w:pPr>
        <w:pStyle w:val="Paragraphedeliste"/>
        <w:numPr>
          <w:ilvl w:val="0"/>
          <w:numId w:val="3"/>
        </w:numPr>
      </w:pPr>
      <w:r w:rsidRPr="006A3AB0">
        <w:rPr>
          <w:i/>
        </w:rPr>
        <w:t>Andromaque</w:t>
      </w:r>
      <w:r>
        <w:t xml:space="preserve">, </w:t>
      </w:r>
      <w:r w:rsidRPr="006A3AB0">
        <w:rPr>
          <w:i/>
        </w:rPr>
        <w:t>Hécube</w:t>
      </w:r>
      <w:r>
        <w:t xml:space="preserve"> et </w:t>
      </w:r>
      <w:r w:rsidRPr="006A3AB0">
        <w:rPr>
          <w:i/>
        </w:rPr>
        <w:t>Les Troyennes</w:t>
      </w:r>
      <w:r>
        <w:t xml:space="preserve"> </w:t>
      </w:r>
      <w:r w:rsidR="00662299">
        <w:t xml:space="preserve"> </w:t>
      </w:r>
      <w:r>
        <w:t>évoquent la guerre de Troie et ses conséquences. Voir pour le premier titre la pièce de Racine (1667), pour le dernier celle de Sénèque (1</w:t>
      </w:r>
      <w:r w:rsidRPr="006A3AB0">
        <w:rPr>
          <w:vertAlign w:val="superscript"/>
        </w:rPr>
        <w:t>er</w:t>
      </w:r>
      <w:r>
        <w:t xml:space="preserve"> s. ap. J.-C.)</w:t>
      </w:r>
      <w:r w:rsidR="00662299">
        <w:t xml:space="preserve"> et le film de Cacoyannis (1971)</w:t>
      </w:r>
      <w:r>
        <w:t>.</w:t>
      </w:r>
    </w:p>
    <w:p w:rsidR="006A3AB0" w:rsidRDefault="006A3AB0" w:rsidP="00692D00">
      <w:pPr>
        <w:pStyle w:val="Paragraphedeliste"/>
        <w:numPr>
          <w:ilvl w:val="0"/>
          <w:numId w:val="3"/>
        </w:numPr>
      </w:pPr>
      <w:r w:rsidRPr="006A3AB0">
        <w:rPr>
          <w:i/>
        </w:rPr>
        <w:t>Les Phéniciennes</w:t>
      </w:r>
      <w:r>
        <w:t xml:space="preserve"> reprennent à Eschyle le thème de la lutte entre les deux fils d’Œdipe et furent imitées par Sénèque.</w:t>
      </w:r>
      <w:r w:rsidR="001A44F0">
        <w:t xml:space="preserve"> </w:t>
      </w:r>
      <w:r w:rsidR="001A44F0" w:rsidRPr="001A44F0">
        <w:rPr>
          <w:i/>
        </w:rPr>
        <w:t>Les Suppliantes</w:t>
      </w:r>
      <w:r w:rsidR="001A44F0">
        <w:t xml:space="preserve"> se rattachent à cette même légende.</w:t>
      </w:r>
    </w:p>
    <w:p w:rsidR="001A44F0" w:rsidRPr="00441842" w:rsidRDefault="001A44F0" w:rsidP="00882469">
      <w:pPr>
        <w:pStyle w:val="Paragraphedeliste"/>
      </w:pPr>
    </w:p>
    <w:p w:rsidR="006A3AB0" w:rsidRDefault="006A3AB0" w:rsidP="00FA1101">
      <w:r>
        <w:t xml:space="preserve">Autres pièces d’Euripide : </w:t>
      </w:r>
      <w:r w:rsidRPr="006A3AB0">
        <w:rPr>
          <w:i/>
        </w:rPr>
        <w:t>Ion</w:t>
      </w:r>
      <w:r>
        <w:t xml:space="preserve">, </w:t>
      </w:r>
      <w:r w:rsidR="001A44F0" w:rsidRPr="001A44F0">
        <w:rPr>
          <w:i/>
        </w:rPr>
        <w:t>Les Héraclides</w:t>
      </w:r>
      <w:r w:rsidR="001A44F0">
        <w:t xml:space="preserve">, </w:t>
      </w:r>
      <w:r w:rsidR="001A44F0" w:rsidRPr="001A44F0">
        <w:rPr>
          <w:i/>
        </w:rPr>
        <w:t>La Folie d’Héraclès</w:t>
      </w:r>
      <w:r w:rsidR="001A44F0">
        <w:t xml:space="preserve">, </w:t>
      </w:r>
      <w:r w:rsidR="001A44F0" w:rsidRPr="001A44F0">
        <w:rPr>
          <w:i/>
        </w:rPr>
        <w:t>Les Bacchantes</w:t>
      </w:r>
      <w:r w:rsidR="001A44F0">
        <w:t>.</w:t>
      </w:r>
    </w:p>
    <w:p w:rsidR="006A3AB0" w:rsidRDefault="006A3AB0" w:rsidP="00FA1101"/>
    <w:p w:rsidR="00FE1BEC" w:rsidRDefault="00FE1BEC" w:rsidP="00FE1BEC">
      <w:pPr>
        <w:pStyle w:val="Titre3"/>
        <w:numPr>
          <w:ilvl w:val="0"/>
          <w:numId w:val="2"/>
        </w:numPr>
      </w:pPr>
      <w:r>
        <w:t>Les textes disponibles</w:t>
      </w:r>
    </w:p>
    <w:p w:rsidR="00666938" w:rsidRDefault="00666938" w:rsidP="00666938"/>
    <w:p w:rsidR="00662299" w:rsidRDefault="00662299" w:rsidP="00662299">
      <w:pPr>
        <w:pStyle w:val="Titre4"/>
        <w:numPr>
          <w:ilvl w:val="0"/>
          <w:numId w:val="5"/>
        </w:numPr>
      </w:pPr>
      <w:r>
        <w:t>Oeuvres disponibles en librairie</w:t>
      </w:r>
    </w:p>
    <w:p w:rsidR="005F0328" w:rsidRDefault="005F0328" w:rsidP="005F0328">
      <w:pPr>
        <w:pStyle w:val="Paragraphedeliste"/>
        <w:numPr>
          <w:ilvl w:val="0"/>
          <w:numId w:val="8"/>
        </w:numPr>
      </w:pPr>
      <w:r>
        <w:t>éditions bilingues : Belles-Lettres, collections Classiques en poche et Guillaume Budé</w:t>
      </w:r>
    </w:p>
    <w:p w:rsidR="00DB07DF" w:rsidRDefault="005F0328" w:rsidP="005F0328">
      <w:pPr>
        <w:pStyle w:val="Paragraphedeliste"/>
        <w:numPr>
          <w:ilvl w:val="0"/>
          <w:numId w:val="8"/>
        </w:numPr>
      </w:pPr>
      <w:r>
        <w:t>p</w:t>
      </w:r>
      <w:r w:rsidRPr="005F0328">
        <w:t>lusieurs éditions</w:t>
      </w:r>
      <w:r>
        <w:t xml:space="preserve"> en traduction française :</w:t>
      </w:r>
      <w:r w:rsidRPr="005F0328">
        <w:t xml:space="preserve"> Livre de Poche, Flammarion, Pocket, Folio, </w:t>
      </w:r>
      <w:r w:rsidR="00440021">
        <w:t xml:space="preserve">Actes Sud, </w:t>
      </w:r>
      <w:r w:rsidR="00F31401">
        <w:t xml:space="preserve">Librio, </w:t>
      </w:r>
      <w:r w:rsidRPr="005F0328">
        <w:t>etc.</w:t>
      </w:r>
    </w:p>
    <w:p w:rsidR="005F0328" w:rsidRDefault="005F0328" w:rsidP="005F0328">
      <w:pPr>
        <w:pStyle w:val="Paragraphedeliste"/>
        <w:numPr>
          <w:ilvl w:val="0"/>
          <w:numId w:val="8"/>
        </w:numPr>
      </w:pPr>
      <w:r>
        <w:t>des éditions thématiques :</w:t>
      </w:r>
    </w:p>
    <w:p w:rsidR="005F0328" w:rsidRDefault="005F0328" w:rsidP="005F0328">
      <w:pPr>
        <w:pStyle w:val="Paragraphedeliste"/>
        <w:numPr>
          <w:ilvl w:val="1"/>
          <w:numId w:val="8"/>
        </w:numPr>
      </w:pPr>
      <w:r w:rsidRPr="005F0328">
        <w:rPr>
          <w:i/>
        </w:rPr>
        <w:t>Électre</w:t>
      </w:r>
      <w:r>
        <w:t>, Sophocle, Eschyle, Euripide, Livre de Poche 2005</w:t>
      </w:r>
    </w:p>
    <w:p w:rsidR="005F0328" w:rsidRPr="005F0328" w:rsidRDefault="00440021" w:rsidP="00440021">
      <w:pPr>
        <w:pStyle w:val="Paragraphedeliste"/>
        <w:numPr>
          <w:ilvl w:val="1"/>
          <w:numId w:val="8"/>
        </w:numPr>
      </w:pPr>
      <w:r w:rsidRPr="00440021">
        <w:rPr>
          <w:i/>
        </w:rPr>
        <w:t xml:space="preserve">Antigone </w:t>
      </w:r>
      <w:r w:rsidR="00DF53B5">
        <w:rPr>
          <w:i/>
        </w:rPr>
        <w:t>-</w:t>
      </w:r>
      <w:r w:rsidRPr="00440021">
        <w:rPr>
          <w:i/>
        </w:rPr>
        <w:t xml:space="preserve"> Électre</w:t>
      </w:r>
      <w:r>
        <w:t>,</w:t>
      </w:r>
      <w:r w:rsidRPr="00440021">
        <w:t xml:space="preserve"> Eschyle, Sophocle, Euripide</w:t>
      </w:r>
      <w:r>
        <w:t>,</w:t>
      </w:r>
      <w:r w:rsidRPr="00440021">
        <w:t xml:space="preserve"> Pocket 1998</w:t>
      </w:r>
      <w:r w:rsidR="00DF53B5">
        <w:t>.</w:t>
      </w:r>
    </w:p>
    <w:p w:rsidR="00FA1101" w:rsidRDefault="00FA1101" w:rsidP="00FE1BEC"/>
    <w:p w:rsidR="00FA1101" w:rsidRDefault="003570C4" w:rsidP="00666938">
      <w:pPr>
        <w:pStyle w:val="Titre4"/>
        <w:numPr>
          <w:ilvl w:val="0"/>
          <w:numId w:val="5"/>
        </w:numPr>
      </w:pPr>
      <w:r>
        <w:t>Textes anciens en ligne</w:t>
      </w:r>
    </w:p>
    <w:p w:rsidR="003570C4" w:rsidRDefault="003570C4" w:rsidP="003570C4">
      <w:pPr>
        <w:pStyle w:val="Paragraphedeliste"/>
        <w:numPr>
          <w:ilvl w:val="0"/>
          <w:numId w:val="6"/>
        </w:numPr>
      </w:pPr>
      <w:r>
        <w:t>Eschyle</w:t>
      </w:r>
    </w:p>
    <w:p w:rsidR="003570C4" w:rsidRDefault="003570C4" w:rsidP="003570C4">
      <w:pPr>
        <w:pStyle w:val="Paragraphedeliste"/>
        <w:numPr>
          <w:ilvl w:val="1"/>
          <w:numId w:val="6"/>
        </w:numPr>
      </w:pPr>
      <w:r>
        <w:t xml:space="preserve">traductions anciennes : </w:t>
      </w:r>
    </w:p>
    <w:p w:rsidR="003570C4" w:rsidRDefault="002E30CC" w:rsidP="003570C4">
      <w:pPr>
        <w:pStyle w:val="Paragraphedeliste"/>
        <w:ind w:left="1440"/>
      </w:pPr>
      <w:hyperlink r:id="rId9" w:history="1">
        <w:r w:rsidR="003570C4" w:rsidRPr="0048430D">
          <w:rPr>
            <w:rStyle w:val="Lienhypertexte"/>
          </w:rPr>
          <w:t>http://www.weblettres.net/languesanc/?page=traductionsg&amp;n=107</w:t>
        </w:r>
      </w:hyperlink>
    </w:p>
    <w:p w:rsidR="003570C4" w:rsidRDefault="002E30CC" w:rsidP="00666938">
      <w:pPr>
        <w:ind w:left="1416"/>
      </w:pPr>
      <w:hyperlink r:id="rId10" w:history="1">
        <w:r w:rsidR="00666938" w:rsidRPr="00443A08">
          <w:rPr>
            <w:rStyle w:val="Lienhypertexte"/>
          </w:rPr>
          <w:t>http://remacle.org/bloodwolf/tragediens/eschyle/index.htm</w:t>
        </w:r>
      </w:hyperlink>
      <w:r w:rsidR="00666938">
        <w:t xml:space="preserve"> </w:t>
      </w:r>
    </w:p>
    <w:p w:rsidR="00DF53B5" w:rsidRDefault="00DF53B5">
      <w:pPr>
        <w:spacing w:after="200" w:line="276" w:lineRule="auto"/>
        <w:jc w:val="left"/>
      </w:pPr>
      <w:r>
        <w:br w:type="page"/>
      </w:r>
    </w:p>
    <w:p w:rsidR="00DF53B5" w:rsidRDefault="00DF53B5" w:rsidP="00666938">
      <w:pPr>
        <w:ind w:left="1416"/>
      </w:pPr>
    </w:p>
    <w:p w:rsidR="003570C4" w:rsidRDefault="003570C4" w:rsidP="003570C4">
      <w:pPr>
        <w:pStyle w:val="Paragraphedeliste"/>
        <w:numPr>
          <w:ilvl w:val="0"/>
          <w:numId w:val="6"/>
        </w:numPr>
      </w:pPr>
      <w:r>
        <w:t>Sophocle</w:t>
      </w:r>
    </w:p>
    <w:p w:rsidR="003570C4" w:rsidRDefault="003570C4" w:rsidP="003570C4">
      <w:pPr>
        <w:pStyle w:val="Paragraphedeliste"/>
        <w:numPr>
          <w:ilvl w:val="1"/>
          <w:numId w:val="6"/>
        </w:numPr>
      </w:pPr>
      <w:r>
        <w:t>traductions anciennes</w:t>
      </w:r>
    </w:p>
    <w:p w:rsidR="003570C4" w:rsidRDefault="002E30CC" w:rsidP="003570C4">
      <w:pPr>
        <w:pStyle w:val="Paragraphedeliste"/>
        <w:ind w:left="1416"/>
      </w:pPr>
      <w:hyperlink r:id="rId11" w:history="1">
        <w:r w:rsidR="003570C4" w:rsidRPr="0048430D">
          <w:rPr>
            <w:rStyle w:val="Lienhypertexte"/>
          </w:rPr>
          <w:t>http://www.weblettres.net/languesanc/?page=traductionsg&amp;n=274</w:t>
        </w:r>
      </w:hyperlink>
      <w:r w:rsidR="003570C4">
        <w:t xml:space="preserve"> </w:t>
      </w:r>
    </w:p>
    <w:p w:rsidR="00666938" w:rsidRDefault="002E30CC" w:rsidP="003570C4">
      <w:pPr>
        <w:pStyle w:val="Paragraphedeliste"/>
        <w:ind w:left="1416"/>
      </w:pPr>
      <w:hyperlink r:id="rId12" w:history="1">
        <w:r w:rsidR="00666938" w:rsidRPr="00443A08">
          <w:rPr>
            <w:rStyle w:val="Lienhypertexte"/>
          </w:rPr>
          <w:t>http://remacle.org/bloodwolf/tragediens/sophocle/index.htm</w:t>
        </w:r>
      </w:hyperlink>
      <w:r w:rsidR="00666938">
        <w:t xml:space="preserve"> </w:t>
      </w:r>
    </w:p>
    <w:p w:rsidR="00435A31" w:rsidRDefault="00435A31" w:rsidP="003570C4">
      <w:pPr>
        <w:pStyle w:val="Paragraphedeliste"/>
        <w:ind w:left="1416"/>
      </w:pPr>
    </w:p>
    <w:p w:rsidR="003570C4" w:rsidRDefault="003570C4" w:rsidP="003570C4">
      <w:pPr>
        <w:pStyle w:val="Paragraphedeliste"/>
        <w:numPr>
          <w:ilvl w:val="0"/>
          <w:numId w:val="6"/>
        </w:numPr>
      </w:pPr>
      <w:r>
        <w:t>Euripide</w:t>
      </w:r>
    </w:p>
    <w:p w:rsidR="00F62C02" w:rsidRDefault="00F62C02" w:rsidP="00F62C02">
      <w:pPr>
        <w:pStyle w:val="Paragraphedeliste"/>
        <w:numPr>
          <w:ilvl w:val="0"/>
          <w:numId w:val="10"/>
        </w:numPr>
        <w:ind w:left="1418" w:hanging="284"/>
      </w:pPr>
      <w:r>
        <w:t>7</w:t>
      </w:r>
      <w:r w:rsidR="0093651A">
        <w:t xml:space="preserve"> pièces</w:t>
      </w:r>
      <w:r>
        <w:t xml:space="preserve"> traduites par Leconte de Lisle</w:t>
      </w:r>
      <w:r w:rsidR="0093651A">
        <w:t xml:space="preserve"> : </w:t>
      </w:r>
    </w:p>
    <w:p w:rsidR="0093651A" w:rsidRDefault="002E30CC" w:rsidP="0093651A">
      <w:pPr>
        <w:pStyle w:val="Paragraphedeliste"/>
        <w:ind w:left="1440"/>
      </w:pPr>
      <w:hyperlink r:id="rId13" w:history="1">
        <w:r w:rsidR="0093651A" w:rsidRPr="0048430D">
          <w:rPr>
            <w:rStyle w:val="Lienhypertexte"/>
          </w:rPr>
          <w:t>http://www.weblettres.net/languesanc/?page=traductionsg&amp;n=116</w:t>
        </w:r>
      </w:hyperlink>
      <w:r w:rsidR="0093651A">
        <w:t xml:space="preserve"> </w:t>
      </w:r>
    </w:p>
    <w:p w:rsidR="00567F85" w:rsidRDefault="00567F85" w:rsidP="00567F85">
      <w:pPr>
        <w:pStyle w:val="Paragraphedeliste"/>
        <w:numPr>
          <w:ilvl w:val="1"/>
          <w:numId w:val="6"/>
        </w:numPr>
      </w:pPr>
      <w:r>
        <w:t>intégralité des pièces conservées :</w:t>
      </w:r>
    </w:p>
    <w:p w:rsidR="00882469" w:rsidRDefault="002E30CC" w:rsidP="00882469">
      <w:pPr>
        <w:pStyle w:val="Paragraphedeliste"/>
        <w:ind w:left="1440"/>
      </w:pPr>
      <w:hyperlink r:id="rId14" w:history="1">
        <w:r w:rsidR="00882469" w:rsidRPr="00443A08">
          <w:rPr>
            <w:rStyle w:val="Lienhypertexte"/>
          </w:rPr>
          <w:t>http://remacle.org/bloodwolf/tragediens/euripide/index.htm</w:t>
        </w:r>
      </w:hyperlink>
      <w:r w:rsidR="00882469">
        <w:t xml:space="preserve"> </w:t>
      </w:r>
    </w:p>
    <w:p w:rsidR="003570C4" w:rsidRDefault="003570C4" w:rsidP="003570C4"/>
    <w:p w:rsidR="00435A31" w:rsidRDefault="00435A31" w:rsidP="003570C4">
      <w:r>
        <w:t>On aura toujours intérêt à se référer à une traduction récente parmi celles qui sont disponibles en librairie.</w:t>
      </w:r>
    </w:p>
    <w:p w:rsidR="00435A31" w:rsidRDefault="00435A31" w:rsidP="003570C4"/>
    <w:p w:rsidR="003570C4" w:rsidRDefault="003570C4" w:rsidP="003570C4"/>
    <w:p w:rsidR="00DF53B5" w:rsidRDefault="00DF53B5" w:rsidP="00DF53B5">
      <w:pPr>
        <w:pStyle w:val="Titre4"/>
        <w:numPr>
          <w:ilvl w:val="0"/>
          <w:numId w:val="5"/>
        </w:numPr>
      </w:pPr>
      <w:r>
        <w:t>Bibliographie succincte :</w:t>
      </w:r>
    </w:p>
    <w:p w:rsidR="00DF53B5" w:rsidRDefault="00DF53B5" w:rsidP="00DF53B5">
      <w:pPr>
        <w:pStyle w:val="Paragraphedeliste"/>
        <w:numPr>
          <w:ilvl w:val="0"/>
          <w:numId w:val="7"/>
        </w:numPr>
      </w:pPr>
      <w:r w:rsidRPr="005F0328">
        <w:rPr>
          <w:i/>
        </w:rPr>
        <w:t>Histoire de la littérature grecque</w:t>
      </w:r>
      <w:r>
        <w:t>, S. Saïd, M. Trédé, A. Le Boulluec, Paris, PUF, 1997.</w:t>
      </w:r>
    </w:p>
    <w:p w:rsidR="00DF53B5" w:rsidRDefault="00DF53B5" w:rsidP="00DF53B5">
      <w:pPr>
        <w:pStyle w:val="Paragraphedeliste"/>
        <w:numPr>
          <w:ilvl w:val="0"/>
          <w:numId w:val="7"/>
        </w:numPr>
      </w:pPr>
      <w:r>
        <w:t xml:space="preserve">Paul Demont, Anne Lebeau, </w:t>
      </w:r>
      <w:r w:rsidRPr="005F0328">
        <w:rPr>
          <w:i/>
        </w:rPr>
        <w:t>Introduction au théâtre grec antique</w:t>
      </w:r>
      <w:r>
        <w:t>, Livre de Poche, 1996</w:t>
      </w:r>
    </w:p>
    <w:p w:rsidR="00DF53B5" w:rsidRDefault="00DF53B5" w:rsidP="00DF53B5">
      <w:pPr>
        <w:pStyle w:val="Paragraphedeliste"/>
        <w:numPr>
          <w:ilvl w:val="0"/>
          <w:numId w:val="7"/>
        </w:numPr>
      </w:pPr>
      <w:r>
        <w:t xml:space="preserve">Jean-Charles Moretti, </w:t>
      </w:r>
      <w:r w:rsidRPr="005F0328">
        <w:rPr>
          <w:i/>
        </w:rPr>
        <w:t>Théâtre et société dans la Grèce antique. Une archéologie des pratiques théâtrales</w:t>
      </w:r>
      <w:r>
        <w:t>, Livre de Poche 2001</w:t>
      </w:r>
      <w:r w:rsidRPr="005F0328">
        <w:t xml:space="preserve"> </w:t>
      </w:r>
    </w:p>
    <w:p w:rsidR="00DF53B5" w:rsidRDefault="00DF53B5" w:rsidP="00DF53B5">
      <w:pPr>
        <w:pStyle w:val="Paragraphedeliste"/>
        <w:numPr>
          <w:ilvl w:val="0"/>
          <w:numId w:val="7"/>
        </w:numPr>
      </w:pPr>
      <w:r>
        <w:t xml:space="preserve">Patricia Vasseur-Legangneux, </w:t>
      </w:r>
      <w:r w:rsidRPr="005F0328">
        <w:rPr>
          <w:i/>
        </w:rPr>
        <w:t>Les tragédies grecques sur la scène moderne</w:t>
      </w:r>
      <w:r>
        <w:rPr>
          <w:i/>
        </w:rPr>
        <w:t> </w:t>
      </w:r>
      <w:r w:rsidRPr="005F0328">
        <w:rPr>
          <w:i/>
        </w:rPr>
        <w:t>: une utopie théâtrale</w:t>
      </w:r>
      <w:r>
        <w:t>, Presses universitaires du Septentrion, 2004.</w:t>
      </w:r>
    </w:p>
    <w:p w:rsidR="00435A31" w:rsidRDefault="00435A31" w:rsidP="00DF53B5">
      <w:pPr>
        <w:pStyle w:val="Paragraphedeliste"/>
        <w:numPr>
          <w:ilvl w:val="0"/>
          <w:numId w:val="7"/>
        </w:numPr>
      </w:pPr>
      <w:r>
        <w:t>un dictionnaire de mythologie, par exemple celui de Jean-Claude Belfiore, Larousse 2003.</w:t>
      </w:r>
    </w:p>
    <w:p w:rsidR="00DF53B5" w:rsidRDefault="00DF53B5" w:rsidP="003570C4"/>
    <w:p w:rsidR="00DF53B5" w:rsidRDefault="00DF53B5" w:rsidP="003570C4"/>
    <w:p w:rsidR="00FE1BEC" w:rsidRDefault="00DE1610" w:rsidP="00666938">
      <w:pPr>
        <w:pStyle w:val="Titre3"/>
        <w:numPr>
          <w:ilvl w:val="0"/>
          <w:numId w:val="5"/>
        </w:numPr>
      </w:pPr>
      <w:r>
        <w:t>les</w:t>
      </w:r>
      <w:r w:rsidR="00FE1BEC">
        <w:t xml:space="preserve"> </w:t>
      </w:r>
      <w:r w:rsidR="00435A31">
        <w:t>dossiers</w:t>
      </w:r>
      <w:r w:rsidR="00FE1BEC">
        <w:t> :</w:t>
      </w:r>
    </w:p>
    <w:p w:rsidR="00FA1101" w:rsidRDefault="00435A31" w:rsidP="00FA1101">
      <w:r>
        <w:t>Nos dossiers portent sur les m</w:t>
      </w:r>
      <w:r w:rsidR="00DF53B5">
        <w:t>ythes figurant dans</w:t>
      </w:r>
      <w:r w:rsidR="008A08B6">
        <w:t xml:space="preserve"> </w:t>
      </w:r>
      <w:r w:rsidR="00DF53B5">
        <w:t xml:space="preserve">les </w:t>
      </w:r>
      <w:r w:rsidR="008A08B6">
        <w:t>tragédies</w:t>
      </w:r>
      <w:r w:rsidR="00483CC6">
        <w:t xml:space="preserve"> grecques</w:t>
      </w:r>
      <w:r w:rsidR="00DF53B5">
        <w:t xml:space="preserve"> et</w:t>
      </w:r>
      <w:r w:rsidR="008A08B6">
        <w:t xml:space="preserve"> dont le sujet a été repris par les auteurs français</w:t>
      </w:r>
      <w:r w:rsidR="00412029">
        <w:t>,</w:t>
      </w:r>
      <w:r w:rsidR="008A08B6">
        <w:t xml:space="preserve"> de Corneille </w:t>
      </w:r>
      <w:r w:rsidR="00412029">
        <w:t>au 2</w:t>
      </w:r>
      <w:r>
        <w:t>1</w:t>
      </w:r>
      <w:r w:rsidR="00412029" w:rsidRPr="00412029">
        <w:rPr>
          <w:vertAlign w:val="superscript"/>
        </w:rPr>
        <w:t>e</w:t>
      </w:r>
      <w:r w:rsidR="00412029">
        <w:t xml:space="preserve"> siècle</w:t>
      </w:r>
      <w:r w:rsidR="008A08B6">
        <w:t>.</w:t>
      </w:r>
    </w:p>
    <w:p w:rsidR="00FA1101" w:rsidRDefault="00FA1101" w:rsidP="00FA1101"/>
    <w:p w:rsidR="00DE1610" w:rsidRDefault="00DE1610" w:rsidP="00DE1610">
      <w:pPr>
        <w:pStyle w:val="Paragraphedeliste"/>
        <w:numPr>
          <w:ilvl w:val="0"/>
          <w:numId w:val="11"/>
        </w:numPr>
      </w:pPr>
      <w:r>
        <w:t>Andromaque</w:t>
      </w:r>
    </w:p>
    <w:p w:rsidR="00DF53B5" w:rsidRDefault="00DF53B5" w:rsidP="00DF53B5">
      <w:pPr>
        <w:pStyle w:val="Paragraphedeliste"/>
      </w:pPr>
    </w:p>
    <w:p w:rsidR="00DE1610" w:rsidRDefault="00DE1610" w:rsidP="00DE1610">
      <w:pPr>
        <w:pStyle w:val="Paragraphedeliste"/>
        <w:numPr>
          <w:ilvl w:val="0"/>
          <w:numId w:val="11"/>
        </w:numPr>
      </w:pPr>
      <w:r>
        <w:t>les Atrides : Iphigénie</w:t>
      </w:r>
    </w:p>
    <w:p w:rsidR="00DF53B5" w:rsidRDefault="00DF53B5" w:rsidP="00DF53B5">
      <w:pPr>
        <w:pStyle w:val="Paragraphedeliste"/>
      </w:pPr>
    </w:p>
    <w:p w:rsidR="00DE1610" w:rsidRDefault="00DE1610" w:rsidP="00DE1610">
      <w:pPr>
        <w:pStyle w:val="Paragraphedeliste"/>
        <w:numPr>
          <w:ilvl w:val="0"/>
          <w:numId w:val="11"/>
        </w:numPr>
      </w:pPr>
      <w:r>
        <w:t>les Atrides : Électre</w:t>
      </w:r>
    </w:p>
    <w:p w:rsidR="00DF53B5" w:rsidRDefault="00DF53B5" w:rsidP="00DF53B5">
      <w:pPr>
        <w:pStyle w:val="Paragraphedeliste"/>
      </w:pPr>
    </w:p>
    <w:p w:rsidR="00DE1610" w:rsidRDefault="00DE1610" w:rsidP="00DE1610">
      <w:pPr>
        <w:pStyle w:val="Paragraphedeliste"/>
        <w:numPr>
          <w:ilvl w:val="0"/>
          <w:numId w:val="11"/>
        </w:numPr>
      </w:pPr>
      <w:r>
        <w:t>Phèdre</w:t>
      </w:r>
    </w:p>
    <w:p w:rsidR="00DF53B5" w:rsidRDefault="00DF53B5" w:rsidP="00DF53B5"/>
    <w:p w:rsidR="00DE1610" w:rsidRDefault="00DE1610" w:rsidP="00DE1610">
      <w:pPr>
        <w:pStyle w:val="Paragraphedeliste"/>
        <w:numPr>
          <w:ilvl w:val="0"/>
          <w:numId w:val="11"/>
        </w:numPr>
      </w:pPr>
      <w:r>
        <w:t>Médée</w:t>
      </w:r>
    </w:p>
    <w:p w:rsidR="00DF53B5" w:rsidRDefault="00DF53B5" w:rsidP="00DF53B5">
      <w:pPr>
        <w:pStyle w:val="Paragraphedeliste"/>
      </w:pPr>
    </w:p>
    <w:p w:rsidR="00DE1610" w:rsidRDefault="00DE1610" w:rsidP="00DE1610">
      <w:pPr>
        <w:pStyle w:val="Paragraphedeliste"/>
        <w:numPr>
          <w:ilvl w:val="0"/>
          <w:numId w:val="11"/>
        </w:numPr>
      </w:pPr>
      <w:r>
        <w:t>les Labdacides : Œdipe, Antigone</w:t>
      </w:r>
    </w:p>
    <w:p w:rsidR="00DE1610" w:rsidRDefault="00DE1610" w:rsidP="00412029"/>
    <w:p w:rsidR="00435A31" w:rsidRDefault="00435A31" w:rsidP="00412029"/>
    <w:p w:rsidR="00435A31" w:rsidRDefault="00435A31" w:rsidP="00412029"/>
    <w:p w:rsidR="00435A31" w:rsidRDefault="00435A31" w:rsidP="00412029"/>
    <w:p w:rsidR="00435A31" w:rsidRDefault="00435A31" w:rsidP="00412029"/>
    <w:p w:rsidR="00435A31" w:rsidRDefault="00435A31" w:rsidP="00412029"/>
    <w:p w:rsidR="00435A31" w:rsidRDefault="00435A31" w:rsidP="00412029"/>
    <w:p w:rsidR="00435A31" w:rsidRDefault="00435A31" w:rsidP="00412029"/>
    <w:p w:rsidR="00435A31" w:rsidRDefault="00435A31" w:rsidP="00412029"/>
    <w:p w:rsidR="00435A31" w:rsidRDefault="00435A31" w:rsidP="00412029"/>
    <w:p w:rsidR="00435A31" w:rsidRDefault="00435A31" w:rsidP="00412029"/>
    <w:p w:rsidR="00435A31" w:rsidRDefault="00435A31" w:rsidP="00412029"/>
    <w:p w:rsidR="00435A31" w:rsidRDefault="00435A31" w:rsidP="00435A31">
      <w:pPr>
        <w:jc w:val="right"/>
      </w:pPr>
      <w:r>
        <w:t xml:space="preserve">François HUBERT, </w:t>
      </w:r>
      <w:hyperlink r:id="rId15" w:history="1">
        <w:r w:rsidRPr="00817A28">
          <w:rPr>
            <w:rStyle w:val="Lienhypertexte"/>
          </w:rPr>
          <w:t>francois.hubert@ac-strasbourg.fr</w:t>
        </w:r>
      </w:hyperlink>
      <w:r>
        <w:t xml:space="preserve"> </w:t>
      </w:r>
    </w:p>
    <w:sectPr w:rsidR="00435A31" w:rsidSect="007858F1">
      <w:headerReference w:type="default" r:id="rId16"/>
      <w:footnotePr>
        <w:numRestart w:val="eachPage"/>
      </w:footnotePr>
      <w:pgSz w:w="11906" w:h="16838"/>
      <w:pgMar w:top="720" w:right="720" w:bottom="454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CC" w:rsidRDefault="002E30CC" w:rsidP="00CC1CA2">
      <w:r>
        <w:separator/>
      </w:r>
    </w:p>
  </w:endnote>
  <w:endnote w:type="continuationSeparator" w:id="0">
    <w:p w:rsidR="002E30CC" w:rsidRDefault="002E30CC" w:rsidP="00CC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CC" w:rsidRDefault="002E30CC" w:rsidP="00CC1CA2">
      <w:r>
        <w:separator/>
      </w:r>
    </w:p>
  </w:footnote>
  <w:footnote w:type="continuationSeparator" w:id="0">
    <w:p w:rsidR="002E30CC" w:rsidRDefault="002E30CC" w:rsidP="00CC1CA2">
      <w:r>
        <w:continuationSeparator/>
      </w:r>
    </w:p>
  </w:footnote>
  <w:footnote w:id="1">
    <w:p w:rsidR="00CC1CA2" w:rsidRDefault="00CC1C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C1CA2">
        <w:rPr>
          <w:i/>
        </w:rPr>
        <w:t>Histoire de la littérature grecque</w:t>
      </w:r>
      <w:r>
        <w:t>, S. Saïd, M. T</w:t>
      </w:r>
      <w:r w:rsidR="007858F1">
        <w:t>r</w:t>
      </w:r>
      <w:r>
        <w:t>édé, A. Le Boulluec, Paris 1997, p. 129.</w:t>
      </w:r>
    </w:p>
  </w:footnote>
  <w:footnote w:id="2">
    <w:p w:rsidR="00CC1CA2" w:rsidRDefault="00CC1CA2">
      <w:pPr>
        <w:pStyle w:val="Notedebasdepage"/>
      </w:pPr>
      <w:r>
        <w:rPr>
          <w:rStyle w:val="Appelnotedebasdep"/>
        </w:rPr>
        <w:footnoteRef/>
      </w:r>
      <w:r>
        <w:t xml:space="preserve"> Isocrate, </w:t>
      </w:r>
      <w:r w:rsidRPr="00CC1CA2">
        <w:rPr>
          <w:i/>
        </w:rPr>
        <w:t>Discours à Nicoclès</w:t>
      </w:r>
      <w:r>
        <w:t xml:space="preserve"> 49, trad. Clermont-Tonnerre 1863.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497289"/>
      <w:docPartObj>
        <w:docPartGallery w:val="Page Numbers (Top of Page)"/>
        <w:docPartUnique/>
      </w:docPartObj>
    </w:sdtPr>
    <w:sdtEndPr/>
    <w:sdtContent>
      <w:p w:rsidR="007858F1" w:rsidRDefault="007858F1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0CC">
          <w:rPr>
            <w:noProof/>
          </w:rPr>
          <w:t>1</w:t>
        </w:r>
        <w:r>
          <w:fldChar w:fldCharType="end"/>
        </w:r>
      </w:p>
    </w:sdtContent>
  </w:sdt>
  <w:p w:rsidR="007858F1" w:rsidRDefault="007858F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BD9"/>
    <w:multiLevelType w:val="hybridMultilevel"/>
    <w:tmpl w:val="80468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E49DB"/>
    <w:multiLevelType w:val="hybridMultilevel"/>
    <w:tmpl w:val="2CA2A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D6396"/>
    <w:multiLevelType w:val="hybridMultilevel"/>
    <w:tmpl w:val="CCF8C6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672DC"/>
    <w:multiLevelType w:val="hybridMultilevel"/>
    <w:tmpl w:val="BF828C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503F"/>
    <w:multiLevelType w:val="hybridMultilevel"/>
    <w:tmpl w:val="8E98F8FE"/>
    <w:lvl w:ilvl="0" w:tplc="040C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>
    <w:nsid w:val="512E1B63"/>
    <w:multiLevelType w:val="hybridMultilevel"/>
    <w:tmpl w:val="742AE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F6F8B"/>
    <w:multiLevelType w:val="hybridMultilevel"/>
    <w:tmpl w:val="67800C0E"/>
    <w:lvl w:ilvl="0" w:tplc="0744142E">
      <w:start w:val="4"/>
      <w:numFmt w:val="bullet"/>
      <w:lvlText w:val="–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C4527"/>
    <w:multiLevelType w:val="hybridMultilevel"/>
    <w:tmpl w:val="C0704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D76A1"/>
    <w:multiLevelType w:val="hybridMultilevel"/>
    <w:tmpl w:val="493E2B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73E17"/>
    <w:multiLevelType w:val="hybridMultilevel"/>
    <w:tmpl w:val="DFC40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73594"/>
    <w:multiLevelType w:val="hybridMultilevel"/>
    <w:tmpl w:val="E6A4A1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EC"/>
    <w:rsid w:val="000F5B35"/>
    <w:rsid w:val="00103E1A"/>
    <w:rsid w:val="001A44F0"/>
    <w:rsid w:val="00226D94"/>
    <w:rsid w:val="00240CA7"/>
    <w:rsid w:val="002C3792"/>
    <w:rsid w:val="002C7BD2"/>
    <w:rsid w:val="002E30CC"/>
    <w:rsid w:val="00325966"/>
    <w:rsid w:val="00350B53"/>
    <w:rsid w:val="003570C4"/>
    <w:rsid w:val="003D35E1"/>
    <w:rsid w:val="00412029"/>
    <w:rsid w:val="00435A31"/>
    <w:rsid w:val="00440021"/>
    <w:rsid w:val="00441842"/>
    <w:rsid w:val="004713CF"/>
    <w:rsid w:val="00483CC6"/>
    <w:rsid w:val="004E5FC3"/>
    <w:rsid w:val="005202ED"/>
    <w:rsid w:val="005335C5"/>
    <w:rsid w:val="0055146B"/>
    <w:rsid w:val="00567F85"/>
    <w:rsid w:val="00596879"/>
    <w:rsid w:val="005B6DAC"/>
    <w:rsid w:val="005F0328"/>
    <w:rsid w:val="00662299"/>
    <w:rsid w:val="00666938"/>
    <w:rsid w:val="00692D00"/>
    <w:rsid w:val="006A3AB0"/>
    <w:rsid w:val="006D251E"/>
    <w:rsid w:val="007349EB"/>
    <w:rsid w:val="0074616A"/>
    <w:rsid w:val="00766CC2"/>
    <w:rsid w:val="007858F1"/>
    <w:rsid w:val="00882469"/>
    <w:rsid w:val="00887B22"/>
    <w:rsid w:val="008A08B6"/>
    <w:rsid w:val="0093651A"/>
    <w:rsid w:val="0096036F"/>
    <w:rsid w:val="0097197F"/>
    <w:rsid w:val="00980025"/>
    <w:rsid w:val="00983A8E"/>
    <w:rsid w:val="009C4119"/>
    <w:rsid w:val="009E08A2"/>
    <w:rsid w:val="00A22C69"/>
    <w:rsid w:val="00A260A1"/>
    <w:rsid w:val="00A65351"/>
    <w:rsid w:val="00B41F2C"/>
    <w:rsid w:val="00C836FB"/>
    <w:rsid w:val="00CC1CA2"/>
    <w:rsid w:val="00CD468D"/>
    <w:rsid w:val="00D00B89"/>
    <w:rsid w:val="00D37F1D"/>
    <w:rsid w:val="00D66E04"/>
    <w:rsid w:val="00D96FCA"/>
    <w:rsid w:val="00DB07DF"/>
    <w:rsid w:val="00DE1610"/>
    <w:rsid w:val="00DF53B5"/>
    <w:rsid w:val="00E22187"/>
    <w:rsid w:val="00E267EC"/>
    <w:rsid w:val="00F31401"/>
    <w:rsid w:val="00F62C02"/>
    <w:rsid w:val="00FA1101"/>
    <w:rsid w:val="00FC6D9F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101"/>
    <w:pPr>
      <w:spacing w:after="0" w:line="240" w:lineRule="auto"/>
      <w:jc w:val="both"/>
    </w:pPr>
    <w:rPr>
      <w:rFonts w:ascii="Tahoma" w:hAnsi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FE1B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1B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1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2C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40CA7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FE1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E1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E1B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E1BE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1C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1CA2"/>
    <w:rPr>
      <w:rFonts w:ascii="Tahoma" w:hAnsi="Tahom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1CA2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25966"/>
    <w:pPr>
      <w:spacing w:line="276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2596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32596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325966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32596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5966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966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A22C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785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58F1"/>
    <w:rPr>
      <w:rFonts w:ascii="Tahoma" w:hAnsi="Tahoma"/>
    </w:rPr>
  </w:style>
  <w:style w:type="paragraph" w:styleId="Pieddepage">
    <w:name w:val="footer"/>
    <w:basedOn w:val="Normal"/>
    <w:link w:val="PieddepageCar"/>
    <w:uiPriority w:val="99"/>
    <w:unhideWhenUsed/>
    <w:rsid w:val="00785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8F1"/>
    <w:rPr>
      <w:rFonts w:ascii="Tahoma" w:hAnsi="Tahoma"/>
    </w:rPr>
  </w:style>
  <w:style w:type="character" w:styleId="Lienhypertextesuivivisit">
    <w:name w:val="FollowedHyperlink"/>
    <w:basedOn w:val="Policepardfaut"/>
    <w:uiPriority w:val="99"/>
    <w:semiHidden/>
    <w:unhideWhenUsed/>
    <w:rsid w:val="00567F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101"/>
    <w:pPr>
      <w:spacing w:after="0" w:line="240" w:lineRule="auto"/>
      <w:jc w:val="both"/>
    </w:pPr>
    <w:rPr>
      <w:rFonts w:ascii="Tahoma" w:hAnsi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FE1B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1B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1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2C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40CA7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FE1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E1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E1B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E1BE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1C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1CA2"/>
    <w:rPr>
      <w:rFonts w:ascii="Tahoma" w:hAnsi="Tahom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1CA2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25966"/>
    <w:pPr>
      <w:spacing w:line="276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2596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32596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325966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32596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5966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966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A22C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785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58F1"/>
    <w:rPr>
      <w:rFonts w:ascii="Tahoma" w:hAnsi="Tahoma"/>
    </w:rPr>
  </w:style>
  <w:style w:type="paragraph" w:styleId="Pieddepage">
    <w:name w:val="footer"/>
    <w:basedOn w:val="Normal"/>
    <w:link w:val="PieddepageCar"/>
    <w:uiPriority w:val="99"/>
    <w:unhideWhenUsed/>
    <w:rsid w:val="00785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8F1"/>
    <w:rPr>
      <w:rFonts w:ascii="Tahoma" w:hAnsi="Tahoma"/>
    </w:rPr>
  </w:style>
  <w:style w:type="character" w:styleId="Lienhypertextesuivivisit">
    <w:name w:val="FollowedHyperlink"/>
    <w:basedOn w:val="Policepardfaut"/>
    <w:uiPriority w:val="99"/>
    <w:semiHidden/>
    <w:unhideWhenUsed/>
    <w:rsid w:val="00567F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eblettres.net/languesanc/?page=traductionsg&amp;n=11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macle.org/bloodwolf/tragediens/sophocle/index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blettres.net/languesanc/?page=traductionsg&amp;n=274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rancois.hubert@ac-strasbourg.fr" TargetMode="External"/><Relationship Id="rId10" Type="http://schemas.openxmlformats.org/officeDocument/2006/relationships/hyperlink" Target="http://remacle.org/bloodwolf/tragediens/eschyle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eblettres.net/languesanc/?page=traductionsg&amp;n=107" TargetMode="External"/><Relationship Id="rId14" Type="http://schemas.openxmlformats.org/officeDocument/2006/relationships/hyperlink" Target="http://remacle.org/bloodwolf/tragediens/euripide/index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6750-0E2D-4BC0-A74F-4A9EC120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1358</Words>
  <Characters>7471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Le théâtre grec antique : la tragédie à Athènes</vt:lpstr>
      <vt:lpstr>        Présentation</vt:lpstr>
      <vt:lpstr>        Les auteurs et les oeuvres</vt:lpstr>
      <vt:lpstr>        Les textes disponibles</vt:lpstr>
      <vt:lpstr>        les mythes :</vt:lpstr>
    </vt:vector>
  </TitlesOfParts>
  <Company>Hewlett-Packard Company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FH</cp:lastModifiedBy>
  <cp:revision>2</cp:revision>
  <dcterms:created xsi:type="dcterms:W3CDTF">2011-09-03T11:08:00Z</dcterms:created>
  <dcterms:modified xsi:type="dcterms:W3CDTF">2011-09-03T11:08:00Z</dcterms:modified>
</cp:coreProperties>
</file>