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A9E" w:rsidRPr="002C1A9E" w:rsidRDefault="002C1A9E" w:rsidP="002C1A9E">
      <w:pPr>
        <w:spacing w:after="0"/>
        <w:jc w:val="center"/>
        <w:outlineLvl w:val="1"/>
        <w:rPr>
          <w:rFonts w:eastAsia="Times New Roman" w:cstheme="minorHAnsi"/>
          <w:b/>
          <w:bCs/>
          <w:color w:val="0070C0"/>
          <w:sz w:val="24"/>
          <w:szCs w:val="24"/>
          <w:lang w:eastAsia="fr-FR"/>
        </w:rPr>
      </w:pPr>
      <w:r w:rsidRPr="002C1A9E">
        <w:rPr>
          <w:rFonts w:eastAsia="Times New Roman" w:cstheme="minorHAnsi"/>
          <w:b/>
          <w:bCs/>
          <w:color w:val="0070C0"/>
          <w:sz w:val="24"/>
          <w:szCs w:val="24"/>
          <w:lang w:eastAsia="fr-FR"/>
        </w:rPr>
        <w:t>BREVET DE TECHNICIEN SUPÉRIEUR</w:t>
      </w:r>
    </w:p>
    <w:p w:rsidR="002C1A9E" w:rsidRPr="002C1A9E" w:rsidRDefault="002C1A9E" w:rsidP="002C1A9E">
      <w:pPr>
        <w:spacing w:after="0"/>
        <w:jc w:val="center"/>
        <w:outlineLvl w:val="1"/>
        <w:rPr>
          <w:rFonts w:eastAsia="Times New Roman" w:cstheme="minorHAnsi"/>
          <w:b/>
          <w:bCs/>
          <w:color w:val="0070C0"/>
          <w:sz w:val="24"/>
          <w:szCs w:val="24"/>
          <w:lang w:eastAsia="fr-FR"/>
        </w:rPr>
      </w:pPr>
      <w:r w:rsidRPr="002C1A9E">
        <w:rPr>
          <w:rFonts w:eastAsia="Times New Roman" w:cstheme="minorHAnsi"/>
          <w:b/>
          <w:bCs/>
          <w:color w:val="0070C0"/>
          <w:sz w:val="24"/>
          <w:szCs w:val="24"/>
          <w:lang w:eastAsia="fr-FR"/>
        </w:rPr>
        <w:t>SESSION 2019</w:t>
      </w:r>
    </w:p>
    <w:p w:rsidR="002C1A9E" w:rsidRPr="002C1A9E" w:rsidRDefault="002C1A9E" w:rsidP="002C1A9E">
      <w:pPr>
        <w:pBdr>
          <w:top w:val="single" w:sz="4" w:space="1" w:color="auto"/>
          <w:left w:val="single" w:sz="4" w:space="4" w:color="auto"/>
          <w:bottom w:val="single" w:sz="4" w:space="1" w:color="auto"/>
          <w:right w:val="single" w:sz="4" w:space="4" w:color="auto"/>
        </w:pBdr>
        <w:spacing w:before="100" w:beforeAutospacing="1" w:after="0"/>
        <w:jc w:val="center"/>
        <w:outlineLvl w:val="1"/>
        <w:rPr>
          <w:rFonts w:eastAsia="Times New Roman" w:cstheme="minorHAnsi"/>
          <w:b/>
          <w:bCs/>
          <w:lang w:eastAsia="fr-FR"/>
        </w:rPr>
      </w:pPr>
      <w:r w:rsidRPr="002C1A9E">
        <w:rPr>
          <w:rFonts w:eastAsia="Times New Roman" w:cstheme="minorHAnsi"/>
          <w:b/>
          <w:bCs/>
          <w:lang w:eastAsia="fr-FR"/>
        </w:rPr>
        <w:t xml:space="preserve">CULTURE GÉNÉRALE ET EXPRESSION </w:t>
      </w:r>
    </w:p>
    <w:p w:rsidR="002C1A9E" w:rsidRPr="002C1A9E" w:rsidRDefault="002C1A9E" w:rsidP="002C1A9E">
      <w:pPr>
        <w:spacing w:before="100" w:beforeAutospacing="1" w:after="100" w:afterAutospacing="1"/>
        <w:jc w:val="center"/>
        <w:outlineLvl w:val="1"/>
        <w:rPr>
          <w:rFonts w:eastAsia="Times New Roman" w:cstheme="minorHAnsi"/>
          <w:b/>
          <w:bCs/>
          <w:lang w:eastAsia="fr-FR"/>
        </w:rPr>
      </w:pPr>
      <w:r w:rsidRPr="002C1A9E">
        <w:rPr>
          <w:rFonts w:eastAsia="Times New Roman" w:cstheme="minorHAnsi"/>
          <w:b/>
          <w:bCs/>
          <w:lang w:eastAsia="fr-FR"/>
        </w:rPr>
        <w:t>Aucun matériel n’est autorisé – Durée : quatre heures</w:t>
      </w:r>
    </w:p>
    <w:p w:rsidR="002C1A9E" w:rsidRPr="002C1A9E" w:rsidRDefault="002C1A9E" w:rsidP="002C1A9E">
      <w:pPr>
        <w:jc w:val="both"/>
        <w:rPr>
          <w:rFonts w:cstheme="minorHAnsi"/>
          <w:b/>
        </w:rPr>
      </w:pPr>
      <w:r w:rsidRPr="002C1A9E">
        <w:rPr>
          <w:rFonts w:eastAsia="Times New Roman" w:cstheme="minorHAnsi"/>
          <w:b/>
          <w:bCs/>
          <w:lang w:eastAsia="fr-FR"/>
        </w:rPr>
        <w:t>Première partie : synthèse (40 points) : vous rédigerez une synthèse concise, objective et ordonnée des documents suivants :</w:t>
      </w:r>
      <w:r w:rsidRPr="002C1A9E">
        <w:rPr>
          <w:rFonts w:cstheme="minorHAnsi"/>
          <w:b/>
        </w:rPr>
        <w:t xml:space="preserve"> </w:t>
      </w:r>
    </w:p>
    <w:p w:rsidR="00FD0888" w:rsidRPr="002C1A9E" w:rsidRDefault="00FD0888" w:rsidP="002C1A9E">
      <w:pPr>
        <w:spacing w:after="0"/>
        <w:jc w:val="both"/>
      </w:pPr>
      <w:r w:rsidRPr="00AF57E1">
        <w:rPr>
          <w:b/>
        </w:rPr>
        <w:t>Document</w:t>
      </w:r>
      <w:r w:rsidR="00C25B3D" w:rsidRPr="00AF57E1">
        <w:rPr>
          <w:b/>
        </w:rPr>
        <w:t xml:space="preserve"> 1</w:t>
      </w:r>
      <w:r>
        <w:t xml:space="preserve"> : </w:t>
      </w:r>
      <w:r w:rsidRPr="00FD0888">
        <w:rPr>
          <w:bCs/>
        </w:rPr>
        <w:t>Virginie Privas-Bréauté</w:t>
      </w:r>
      <w:r w:rsidRPr="00FD0888">
        <w:t xml:space="preserve">, « Développement cognitif et apprentissage de l’anglais langue des affaires en IUT à travers le jeu : utilisation des mondes virtuels », </w:t>
      </w:r>
      <w:r w:rsidRPr="00FD0888">
        <w:rPr>
          <w:i/>
          <w:iCs/>
        </w:rPr>
        <w:t>Recherche et pratiques pédagogiques en langues de spécialité</w:t>
      </w:r>
      <w:r w:rsidR="002C1A9E">
        <w:rPr>
          <w:i/>
          <w:iCs/>
        </w:rPr>
        <w:t>,</w:t>
      </w:r>
      <w:r w:rsidRPr="00FD0888">
        <w:t xml:space="preserve"> [En ligne], Vol.36 N°2 | 2017</w:t>
      </w:r>
      <w:r>
        <w:t xml:space="preserve">. </w:t>
      </w:r>
      <w:r w:rsidRPr="002C1A9E">
        <w:t>Avec l’aimable autorisation de l’auteure.</w:t>
      </w:r>
    </w:p>
    <w:p w:rsidR="00FD0888" w:rsidRPr="002C1A9E" w:rsidRDefault="00FD0888" w:rsidP="002C1A9E">
      <w:pPr>
        <w:spacing w:after="0"/>
        <w:jc w:val="both"/>
      </w:pPr>
      <w:r w:rsidRPr="00AF57E1">
        <w:rPr>
          <w:b/>
        </w:rPr>
        <w:t>Document</w:t>
      </w:r>
      <w:r w:rsidR="00C25B3D" w:rsidRPr="00AF57E1">
        <w:rPr>
          <w:b/>
        </w:rPr>
        <w:t xml:space="preserve"> 2</w:t>
      </w:r>
      <w:r>
        <w:t xml:space="preserve"> : </w:t>
      </w:r>
      <w:r w:rsidRPr="00FD0888">
        <w:rPr>
          <w:bCs/>
        </w:rPr>
        <w:t xml:space="preserve">Antonio </w:t>
      </w:r>
      <w:proofErr w:type="spellStart"/>
      <w:r w:rsidRPr="00FD0888">
        <w:rPr>
          <w:bCs/>
        </w:rPr>
        <w:t>Casilli</w:t>
      </w:r>
      <w:proofErr w:type="spellEnd"/>
      <w:r w:rsidRPr="00FD0888">
        <w:rPr>
          <w:bCs/>
        </w:rPr>
        <w:t xml:space="preserve">, </w:t>
      </w:r>
      <w:r w:rsidRPr="00FD0888">
        <w:rPr>
          <w:bCs/>
          <w:i/>
          <w:iCs/>
        </w:rPr>
        <w:t xml:space="preserve">Les liaisons numériques. Vers une nouvelle </w:t>
      </w:r>
      <w:proofErr w:type="gramStart"/>
      <w:r w:rsidRPr="00FD0888">
        <w:rPr>
          <w:bCs/>
          <w:i/>
          <w:iCs/>
        </w:rPr>
        <w:t>sociabilité ?</w:t>
      </w:r>
      <w:r w:rsidRPr="00FD0888">
        <w:t>,</w:t>
      </w:r>
      <w:proofErr w:type="gramEnd"/>
      <w:r w:rsidRPr="00FD0888">
        <w:t xml:space="preserve"> Seuil, coll. « La couleur des idées », 2010, pages 56-57</w:t>
      </w:r>
      <w:r>
        <w:t>.</w:t>
      </w:r>
      <w:r w:rsidRPr="00FD0888">
        <w:t xml:space="preserve"> </w:t>
      </w:r>
      <w:r w:rsidRPr="002C1A9E">
        <w:t>Avec l’aimable autorisation de l’auteur</w:t>
      </w:r>
      <w:r w:rsidR="002C577A" w:rsidRPr="002C1A9E">
        <w:t>.</w:t>
      </w:r>
    </w:p>
    <w:p w:rsidR="00FD0888" w:rsidRDefault="00FD0888" w:rsidP="002C1A9E">
      <w:pPr>
        <w:spacing w:after="0"/>
        <w:jc w:val="both"/>
      </w:pPr>
      <w:r w:rsidRPr="00AF57E1">
        <w:rPr>
          <w:b/>
        </w:rPr>
        <w:t>Document</w:t>
      </w:r>
      <w:r w:rsidR="00C25B3D" w:rsidRPr="00AF57E1">
        <w:rPr>
          <w:b/>
        </w:rPr>
        <w:t xml:space="preserve"> 3</w:t>
      </w:r>
      <w:r w:rsidR="00C25B3D">
        <w:t xml:space="preserve"> : Théophile Gautier, </w:t>
      </w:r>
      <w:r w:rsidR="002C1A9E">
        <w:t>« </w:t>
      </w:r>
      <w:r w:rsidR="00C25B3D">
        <w:t>Avatar</w:t>
      </w:r>
      <w:r w:rsidR="002C1A9E">
        <w:t> »</w:t>
      </w:r>
      <w:r w:rsidR="00C25B3D">
        <w:t xml:space="preserve">, 1856 </w:t>
      </w:r>
      <w:r w:rsidR="00C25B3D" w:rsidRPr="00C662F4">
        <w:rPr>
          <w:i/>
        </w:rPr>
        <w:t>in</w:t>
      </w:r>
      <w:r w:rsidR="00C25B3D">
        <w:t xml:space="preserve"> </w:t>
      </w:r>
      <w:r w:rsidR="00C25B3D" w:rsidRPr="002C1A9E">
        <w:rPr>
          <w:i/>
        </w:rPr>
        <w:t xml:space="preserve">Romans et Contes. </w:t>
      </w:r>
      <w:r w:rsidR="00C25B3D">
        <w:t xml:space="preserve">A </w:t>
      </w:r>
      <w:proofErr w:type="spellStart"/>
      <w:r w:rsidR="00C25B3D">
        <w:t>Lem</w:t>
      </w:r>
      <w:r w:rsidR="00C662F4">
        <w:t>erre</w:t>
      </w:r>
      <w:proofErr w:type="spellEnd"/>
      <w:r w:rsidR="00C662F4">
        <w:t>, 1897. Chapitre IV, page 4</w:t>
      </w:r>
      <w:r w:rsidR="00C25B3D">
        <w:t>.</w:t>
      </w:r>
    </w:p>
    <w:p w:rsidR="00C662F4" w:rsidRPr="00C662F4" w:rsidRDefault="00C25B3D" w:rsidP="002C1A9E">
      <w:pPr>
        <w:spacing w:after="0"/>
        <w:jc w:val="both"/>
      </w:pPr>
      <w:r w:rsidRPr="00AF57E1">
        <w:rPr>
          <w:b/>
        </w:rPr>
        <w:t>Document 4</w:t>
      </w:r>
      <w:r>
        <w:t> :</w:t>
      </w:r>
      <w:r w:rsidR="00C662F4">
        <w:t xml:space="preserve"> </w:t>
      </w:r>
      <w:r w:rsidR="00C662F4" w:rsidRPr="00C662F4">
        <w:t>Ernest Cline</w:t>
      </w:r>
      <w:r w:rsidR="00C662F4">
        <w:t>, e</w:t>
      </w:r>
      <w:r w:rsidR="00C662F4" w:rsidRPr="00C662F4">
        <w:t xml:space="preserve">xtrait de </w:t>
      </w:r>
      <w:proofErr w:type="spellStart"/>
      <w:r w:rsidR="00C662F4" w:rsidRPr="00C662F4">
        <w:rPr>
          <w:i/>
        </w:rPr>
        <w:t>Ready</w:t>
      </w:r>
      <w:proofErr w:type="spellEnd"/>
      <w:r w:rsidR="00C662F4" w:rsidRPr="00C662F4">
        <w:rPr>
          <w:i/>
        </w:rPr>
        <w:t xml:space="preserve"> Player</w:t>
      </w:r>
      <w:r w:rsidR="00C662F4" w:rsidRPr="00C662F4">
        <w:t xml:space="preserve">, </w:t>
      </w:r>
      <w:r w:rsidR="00C662F4">
        <w:t xml:space="preserve">Edition Michel </w:t>
      </w:r>
      <w:proofErr w:type="spellStart"/>
      <w:r w:rsidR="00C662F4">
        <w:t>Lafon</w:t>
      </w:r>
      <w:proofErr w:type="spellEnd"/>
      <w:r w:rsidR="00C662F4">
        <w:t>,</w:t>
      </w:r>
      <w:r w:rsidR="0016771C">
        <w:t xml:space="preserve"> </w:t>
      </w:r>
      <w:r w:rsidR="0016771C" w:rsidRPr="0016771C">
        <w:t>chapitre 9</w:t>
      </w:r>
      <w:r w:rsidR="0016771C">
        <w:t>,</w:t>
      </w:r>
      <w:r w:rsidR="00C662F4">
        <w:t xml:space="preserve"> 2013.</w:t>
      </w:r>
    </w:p>
    <w:p w:rsidR="00C662F4" w:rsidRPr="002C1A9E" w:rsidRDefault="00C662F4" w:rsidP="002C1A9E">
      <w:pPr>
        <w:spacing w:after="0"/>
        <w:jc w:val="both"/>
        <w:rPr>
          <w:iCs/>
        </w:rPr>
      </w:pPr>
      <w:r w:rsidRPr="00AF57E1">
        <w:rPr>
          <w:b/>
        </w:rPr>
        <w:t>Document 5</w:t>
      </w:r>
      <w:r>
        <w:t xml:space="preserve"> : </w:t>
      </w:r>
      <w:r w:rsidRPr="002C1A9E">
        <w:rPr>
          <w:iCs/>
        </w:rPr>
        <w:t xml:space="preserve">Appartement de </w:t>
      </w:r>
      <w:proofErr w:type="spellStart"/>
      <w:r w:rsidRPr="002C1A9E">
        <w:rPr>
          <w:iCs/>
        </w:rPr>
        <w:t>Pasokan</w:t>
      </w:r>
      <w:proofErr w:type="spellEnd"/>
      <w:r w:rsidRPr="002C1A9E">
        <w:rPr>
          <w:iCs/>
        </w:rPr>
        <w:t xml:space="preserve"> Otaku photographié par </w:t>
      </w:r>
      <w:proofErr w:type="spellStart"/>
      <w:r w:rsidRPr="002C1A9E">
        <w:rPr>
          <w:iCs/>
        </w:rPr>
        <w:t>Kyoichi</w:t>
      </w:r>
      <w:proofErr w:type="spellEnd"/>
      <w:r w:rsidRPr="002C1A9E">
        <w:rPr>
          <w:iCs/>
        </w:rPr>
        <w:t xml:space="preserve"> </w:t>
      </w:r>
      <w:proofErr w:type="spellStart"/>
      <w:r w:rsidRPr="002C1A9E">
        <w:rPr>
          <w:iCs/>
        </w:rPr>
        <w:t>Tsuzuki</w:t>
      </w:r>
      <w:proofErr w:type="spellEnd"/>
      <w:r w:rsidRPr="002C1A9E">
        <w:rPr>
          <w:iCs/>
        </w:rPr>
        <w:t xml:space="preserve"> en 2005 et publi</w:t>
      </w:r>
      <w:r w:rsidR="0059633E" w:rsidRPr="002C1A9E">
        <w:rPr>
          <w:iCs/>
        </w:rPr>
        <w:t>é</w:t>
      </w:r>
      <w:r w:rsidRPr="002C1A9E">
        <w:rPr>
          <w:iCs/>
        </w:rPr>
        <w:t xml:space="preserve"> dans </w:t>
      </w:r>
      <w:proofErr w:type="spellStart"/>
      <w:r w:rsidRPr="002C1A9E">
        <w:rPr>
          <w:i/>
          <w:iCs/>
        </w:rPr>
        <w:t>Universe</w:t>
      </w:r>
      <w:proofErr w:type="spellEnd"/>
      <w:r w:rsidRPr="002C1A9E">
        <w:rPr>
          <w:i/>
          <w:iCs/>
        </w:rPr>
        <w:t xml:space="preserve"> for Rent</w:t>
      </w:r>
      <w:r w:rsidR="002C577A" w:rsidRPr="002C1A9E">
        <w:rPr>
          <w:i/>
          <w:iCs/>
        </w:rPr>
        <w:t>.</w:t>
      </w:r>
    </w:p>
    <w:p w:rsidR="002C1A9E" w:rsidRDefault="002C1A9E" w:rsidP="009D0F13">
      <w:pPr>
        <w:jc w:val="both"/>
      </w:pPr>
      <w:bookmarkStart w:id="0" w:name="_GoBack"/>
      <w:bookmarkEnd w:id="0"/>
    </w:p>
    <w:p w:rsidR="002C1A9E" w:rsidRPr="002C1A9E" w:rsidRDefault="002C1A9E" w:rsidP="009D0F13">
      <w:pPr>
        <w:jc w:val="both"/>
        <w:rPr>
          <w:b/>
        </w:rPr>
      </w:pPr>
      <w:r w:rsidRPr="002C1A9E">
        <w:rPr>
          <w:b/>
        </w:rPr>
        <w:t>Deuxième partie : écriture personnelle (20 points)</w:t>
      </w:r>
    </w:p>
    <w:p w:rsidR="007D610A" w:rsidRDefault="007D610A" w:rsidP="009D0F13">
      <w:pPr>
        <w:jc w:val="both"/>
      </w:pPr>
      <w:r w:rsidRPr="007D610A">
        <w:t xml:space="preserve">En 2003 James Paul Gee écrit </w:t>
      </w:r>
      <w:r w:rsidRPr="007D610A">
        <w:rPr>
          <w:i/>
        </w:rPr>
        <w:t>Ce que les jeux vidéo ont à nous enseigner à propos de l’apprentissage et de la littératie</w:t>
      </w:r>
      <w:r w:rsidRPr="007D610A">
        <w:rPr>
          <w:i/>
          <w:vertAlign w:val="superscript"/>
        </w:rPr>
        <w:footnoteReference w:id="1"/>
      </w:r>
      <w:r w:rsidRPr="007D610A">
        <w:t xml:space="preserve"> dans lequel il détaille 36 principes. Une série est dédiée à l’identité imaginaire et réelle. Selon lui il existe trois types d’identité (identité dans le monde réel, identité virtuelle et identité projective) en effet il soutient qu’un joueur peut imaginer une nouvelle identité située à l’intersection de son identité réelle et de son identité virtuelle fantastique.</w:t>
      </w:r>
      <w:r w:rsidRPr="007D610A">
        <w:rPr>
          <w:vertAlign w:val="superscript"/>
        </w:rPr>
        <w:footnoteReference w:id="2"/>
      </w:r>
      <w:r w:rsidRPr="007D610A">
        <w:t xml:space="preserve"> Pensez-vous que les jeux vidéo soient l’occasion d’un mensonge permanent aux autres ?</w:t>
      </w:r>
    </w:p>
    <w:p w:rsidR="007D610A" w:rsidRPr="00C662F4" w:rsidRDefault="009D0F13" w:rsidP="009D0F13">
      <w:pPr>
        <w:jc w:val="center"/>
      </w:pPr>
      <w:r>
        <w:t>----------------------------------------------------------------</w:t>
      </w:r>
    </w:p>
    <w:p w:rsidR="00C25B3D" w:rsidRPr="00BE0C36" w:rsidRDefault="00C25B3D" w:rsidP="00FD0888">
      <w:pPr>
        <w:rPr>
          <w:b/>
        </w:rPr>
      </w:pPr>
      <w:r w:rsidRPr="00BE0C36">
        <w:rPr>
          <w:b/>
        </w:rPr>
        <w:t>Document 1</w:t>
      </w:r>
    </w:p>
    <w:p w:rsidR="00AF57E1" w:rsidRDefault="00AF57E1" w:rsidP="00612544">
      <w:pPr>
        <w:jc w:val="both"/>
        <w:sectPr w:rsidR="00AF57E1">
          <w:footerReference w:type="default" r:id="rId7"/>
          <w:pgSz w:w="11906" w:h="16838"/>
          <w:pgMar w:top="1417" w:right="1417" w:bottom="1417" w:left="1417" w:header="708" w:footer="708" w:gutter="0"/>
          <w:cols w:space="708"/>
          <w:docGrid w:linePitch="360"/>
        </w:sectPr>
      </w:pPr>
    </w:p>
    <w:p w:rsidR="00FD0888" w:rsidRPr="00FD0888" w:rsidRDefault="00FD0888" w:rsidP="00612544">
      <w:pPr>
        <w:jc w:val="both"/>
      </w:pPr>
      <w:r w:rsidRPr="00FD0888">
        <w:t xml:space="preserve">Les mondes virtuels, précisément grâce à la possibilité de créer son propre avatar puis de partir à la </w:t>
      </w:r>
      <w:proofErr w:type="gramStart"/>
      <w:r w:rsidRPr="00FD0888">
        <w:t>rencontre</w:t>
      </w:r>
      <w:proofErr w:type="gramEnd"/>
      <w:r w:rsidRPr="00FD0888">
        <w:t xml:space="preserve"> des autres, facilitent le développement cognitif de soi rendu possible par l’utilisation de la langue.</w:t>
      </w:r>
    </w:p>
    <w:p w:rsidR="00FD0888" w:rsidRPr="00FD0888" w:rsidRDefault="00FD0888" w:rsidP="00612544">
      <w:pPr>
        <w:jc w:val="both"/>
      </w:pPr>
      <w:r w:rsidRPr="00FD0888">
        <w:t xml:space="preserve">Les cinq étudiants participant à l’expérimentation [sur Seconde Life] ainsi que les professeurs et experts ont dû créer leur propre avatar, personnage virtuel jouant leur rôle dans ce monde en trois dimensions. Pour cela, un large choix de propriétés physiques et vestimentaires était à leur portée. Néanmoins, il a pu être constaté que les avatars ressemblaient beaucoup aux apprenants et enseignants qui les avaient créés. </w:t>
      </w:r>
      <w:proofErr w:type="spellStart"/>
      <w:r w:rsidRPr="00FD0888">
        <w:t>Vasalou</w:t>
      </w:r>
      <w:proofErr w:type="spellEnd"/>
      <w:r w:rsidRPr="00FD0888">
        <w:t xml:space="preserve"> et al. </w:t>
      </w:r>
      <w:proofErr w:type="gramStart"/>
      <w:r w:rsidRPr="00FD0888">
        <w:t>qualifient</w:t>
      </w:r>
      <w:proofErr w:type="gramEnd"/>
      <w:r w:rsidRPr="00FD0888">
        <w:t xml:space="preserve"> les avatars d’artefacts symboliques mais </w:t>
      </w:r>
      <w:r w:rsidRPr="00FD0888">
        <w:lastRenderedPageBreak/>
        <w:t>personnels et non-anonymes : « [les avatars] renvoient à leurs propriétaires et à la communauté extérieure des propriétés d’individualisation » (</w:t>
      </w:r>
      <w:proofErr w:type="spellStart"/>
      <w:r w:rsidRPr="00FD0888">
        <w:t>Vasalou</w:t>
      </w:r>
      <w:proofErr w:type="spellEnd"/>
      <w:r w:rsidRPr="00FD0888">
        <w:t xml:space="preserve"> et al. P. 445)</w:t>
      </w:r>
      <w:r w:rsidRPr="00FD0888">
        <w:rPr>
          <w:vertAlign w:val="superscript"/>
        </w:rPr>
        <w:footnoteReference w:id="3"/>
      </w:r>
      <w:r w:rsidRPr="00FD0888">
        <w:t>.</w:t>
      </w:r>
    </w:p>
    <w:p w:rsidR="00FD0888" w:rsidRPr="00FD0888" w:rsidRDefault="00FD0888" w:rsidP="00612544">
      <w:pPr>
        <w:jc w:val="both"/>
      </w:pPr>
      <w:r w:rsidRPr="00FD0888">
        <w:t xml:space="preserve">Le choix de la création de son propre avatar révèle donc de nombreuses informations sur la personnalité d’un étudiant/joueur. Berry explique dans </w:t>
      </w:r>
      <w:r w:rsidRPr="00FD0888">
        <w:rPr>
          <w:i/>
        </w:rPr>
        <w:t>L’Expérience virtuelle</w:t>
      </w:r>
      <w:r w:rsidRPr="00FD0888">
        <w:t xml:space="preserve"> que plus les joueurs choisissent des avatars aux apparences physiques proches des leurs dans la vraie vie, plus ils montrent leur désir de se rapprocher de la réalité. Dans ce cas, ils vivent le jeu comme une exploration de leur propre personnalité. Après de nombreux entretiens avec des joueurs puis de nombreuses recherches sur la question des mondes virtuels, Berry</w:t>
      </w:r>
      <w:r w:rsidRPr="00FD0888">
        <w:rPr>
          <w:vertAlign w:val="superscript"/>
        </w:rPr>
        <w:footnoteReference w:id="4"/>
      </w:r>
      <w:r w:rsidRPr="00FD0888">
        <w:t xml:space="preserve"> (p. 174) a découvert que « le rapport homologique, autrement dit la correspondance entre l’avatar et le joueur est la norme ». Et, au contraire, les joueurs qui décident d’adopter des traits physiques différents des leurs vivent le jeu comme un pur moment de divertissement. Fort de ces observations, nous pouvons constater à quel point les mondes virtuels sont des espaces où il est possible pour les joueurs de se livrer à l’exploration de leur propre personnalité. Berry (p. 176) écrit que ce sont des espaces « d’apprentissage d’un autre soi, d’un “</w:t>
      </w:r>
      <w:r w:rsidRPr="00FD0888">
        <w:rPr>
          <w:i/>
        </w:rPr>
        <w:t>second self</w:t>
      </w:r>
      <w:r w:rsidRPr="00FD0888">
        <w:t xml:space="preserve">”, mais également des moments de réflexivité très forts sur le genre et l’identité personnelle ». La même remarque s’applique au choix des noms des joueurs, qui, dans le cas de notre expérimentation, n’ont pas été modifiés. La création et l’utilisation d’avatars augmentent donc la conscience de soi, y compris la conscience de son corps et de ses émotions. </w:t>
      </w:r>
    </w:p>
    <w:p w:rsidR="00AF57E1" w:rsidRPr="00AF57E1" w:rsidRDefault="008A595D" w:rsidP="00AF57E1">
      <w:pPr>
        <w:jc w:val="both"/>
        <w:sectPr w:rsidR="00AF57E1" w:rsidRPr="00AF57E1" w:rsidSect="00AF57E1">
          <w:type w:val="continuous"/>
          <w:pgSz w:w="11906" w:h="16838"/>
          <w:pgMar w:top="1418" w:right="1418" w:bottom="1418" w:left="1418" w:header="709" w:footer="709" w:gutter="0"/>
          <w:lnNumType w:countBy="5" w:restart="continuous"/>
          <w:cols w:space="708"/>
          <w:docGrid w:linePitch="360"/>
        </w:sect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1862138</wp:posOffset>
                </wp:positionV>
                <wp:extent cx="5843588" cy="962025"/>
                <wp:effectExtent l="0" t="0" r="5080" b="9525"/>
                <wp:wrapNone/>
                <wp:docPr id="2" name="Zone de texte 2"/>
                <wp:cNvGraphicFramePr/>
                <a:graphic xmlns:a="http://schemas.openxmlformats.org/drawingml/2006/main">
                  <a:graphicData uri="http://schemas.microsoft.com/office/word/2010/wordprocessingShape">
                    <wps:wsp>
                      <wps:cNvSpPr txBox="1"/>
                      <wps:spPr>
                        <a:xfrm>
                          <a:off x="0" y="0"/>
                          <a:ext cx="5843588" cy="962025"/>
                        </a:xfrm>
                        <a:prstGeom prst="rect">
                          <a:avLst/>
                        </a:prstGeom>
                        <a:solidFill>
                          <a:schemeClr val="lt1"/>
                        </a:solidFill>
                        <a:ln w="6350">
                          <a:noFill/>
                        </a:ln>
                      </wps:spPr>
                      <wps:txbx>
                        <w:txbxContent>
                          <w:p w:rsidR="008A595D" w:rsidRPr="008A595D" w:rsidRDefault="008A595D" w:rsidP="008A595D">
                            <w:r w:rsidRPr="008A595D">
                              <w:rPr>
                                <w:bCs/>
                              </w:rPr>
                              <w:t>Virginie Privas-Bréauté</w:t>
                            </w:r>
                            <w:r w:rsidRPr="008A595D">
                              <w:t>, « Développement cognitif et apprentissage de l’anglais langue des affaires en IUT à travers le jeu : utilisation des mondes virtuels »</w:t>
                            </w:r>
                          </w:p>
                          <w:p w:rsidR="008A595D" w:rsidRDefault="008A59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85pt;margin-top:146.65pt;width:460.1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L3RwIAAH4EAAAOAAAAZHJzL2Uyb0RvYy54bWysVFFv2jAQfp+0/2D5fSSkwGhEqBgV0yTU&#10;VqJVpb0Zx4FIts+zDQn79Ts7gbJuT9NenLPv/Pnuu+8yu2uVJEdhXQ26oMNBSonQHMpa7wr68rz6&#10;NKXEeaZLJkGLgp6Eo3fzjx9mjclFBnuQpbAEQbTLG1PQvfcmTxLH90IxNwAjNDorsIp53NpdUlrW&#10;ILqSSZamk6QBWxoLXDiHp/edk84jflUJ7h+ryglPZEExNx9XG9dtWJP5jOU7y8y+5n0a7B+yUKzW&#10;+OgF6p55Rg62/gNK1dyCg8oPOKgEqqrmItaA1QzTd9Vs9syIWAuS48yFJvf/YPnD8cmSuixoRolm&#10;Clv0HRtFSkG8aL0gWaCoMS7HyI3BWN9+gRZbfT53eBgqbyurwhdrIuhHsk8XghGJcDwcT0c34ylK&#10;gqPvdpKl2TjAJG+3jXX+qwBFglFQiw2MvLLj2vku9BwSHnMg63JVSxk3QTRiKS05Mmy39DFHBP8t&#10;SmrSFHRyM04jsIZwvUOWGnMJtXY1Bcu327YnYAvlCeu30InIGb6qMck1c/6JWVQNloyT4B9xqSTg&#10;I9BblOzB/vzbeYjHZqKXkgZVWFD348CsoER+09jm2+FoFGQbN6Px5ww39tqzvfbog1oCVj7EmTM8&#10;miHey7NZWVCvODCL8Cq6mOb4dkH92Vz6bjZw4LhYLGIQCtUwv9YbwwN0YDq04Ll9Zdb0fQpaeYCz&#10;Xln+rl1dbLipYXHwUNWxl4HgjtWedxR5VEM/kGGKrvcx6u23Mf8FAAD//wMAUEsDBBQABgAIAAAA&#10;IQCOXmLX4QAAAAkBAAAPAAAAZHJzL2Rvd25yZXYueG1sTI9PT4NAFMTvJn6HzTPxYuwioG2RR2OM&#10;fxJvllbjbcs+gci+JewW8Nu7nvQ4mcnMb/LNbDox0uBaywhXiwgEcWV1yzXCrny8XIFwXrFWnWVC&#10;+CYHm+L0JFeZthO/0rj1tQgl7DKF0HjfZ1K6qiGj3ML2xMH7tINRPsihlnpQUyg3nYyj6EYa1XJY&#10;aFRP9w1VX9ujQfi4qN9f3Py0n5LrpH94Hsvlmy4Rz8/mu1sQnmb/F4Zf/IAORWA62CNrJzqEZBmC&#10;CPE6SUAEfx2n4dsBIU3TFcgil/8fFD8AAAD//wMAUEsBAi0AFAAGAAgAAAAhALaDOJL+AAAA4QEA&#10;ABMAAAAAAAAAAAAAAAAAAAAAAFtDb250ZW50X1R5cGVzXS54bWxQSwECLQAUAAYACAAAACEAOP0h&#10;/9YAAACUAQAACwAAAAAAAAAAAAAAAAAvAQAAX3JlbHMvLnJlbHNQSwECLQAUAAYACAAAACEAjOaC&#10;90cCAAB+BAAADgAAAAAAAAAAAAAAAAAuAgAAZHJzL2Uyb0RvYy54bWxQSwECLQAUAAYACAAAACEA&#10;jl5i1+EAAAAJAQAADwAAAAAAAAAAAAAAAAChBAAAZHJzL2Rvd25yZXYueG1sUEsFBgAAAAAEAAQA&#10;8wAAAK8FAAAAAA==&#10;" fillcolor="white [3201]" stroked="f" strokeweight=".5pt">
                <v:textbox>
                  <w:txbxContent>
                    <w:p w:rsidR="008A595D" w:rsidRPr="008A595D" w:rsidRDefault="008A595D" w:rsidP="008A595D">
                      <w:r w:rsidRPr="008A595D">
                        <w:rPr>
                          <w:bCs/>
                        </w:rPr>
                        <w:t>Virginie Privas-Bréauté</w:t>
                      </w:r>
                      <w:r w:rsidRPr="008A595D">
                        <w:t>, « Développement cognitif et apprentissage de l’anglais langue des affaires en IUT à travers le jeu : utilisation des mondes virtuels »</w:t>
                      </w:r>
                    </w:p>
                    <w:p w:rsidR="008A595D" w:rsidRDefault="008A595D"/>
                  </w:txbxContent>
                </v:textbox>
              </v:shape>
            </w:pict>
          </mc:Fallback>
        </mc:AlternateContent>
      </w:r>
      <w:r w:rsidR="00FD0888" w:rsidRPr="00FD0888">
        <w:t>Créer son avatar permet au joueur d’être à la fois acteur et spectateur de ses propres actions. Les étudiants utilisant les mondes virtuels où il est question de se représenter deviennent donc acteurs et spectateurs de leur apprentissage. Cette idée fait écho au concept de « </w:t>
      </w:r>
      <w:proofErr w:type="spellStart"/>
      <w:r w:rsidR="00FD0888" w:rsidRPr="00FD0888">
        <w:t>spect</w:t>
      </w:r>
      <w:proofErr w:type="spellEnd"/>
      <w:r w:rsidR="00FD0888" w:rsidRPr="00FD0888">
        <w:t xml:space="preserve">-acteur » développé par le dramaturge brésilien Augusto </w:t>
      </w:r>
      <w:proofErr w:type="spellStart"/>
      <w:r w:rsidR="00FD0888" w:rsidRPr="00FD0888">
        <w:t>Boal</w:t>
      </w:r>
      <w:proofErr w:type="spellEnd"/>
      <w:r w:rsidR="00FD0888" w:rsidRPr="00FD0888">
        <w:t xml:space="preserve">. Dans son ouvrage </w:t>
      </w:r>
      <w:proofErr w:type="spellStart"/>
      <w:r w:rsidR="00FD0888" w:rsidRPr="00FD0888">
        <w:rPr>
          <w:i/>
          <w:iCs/>
        </w:rPr>
        <w:t>Theatre</w:t>
      </w:r>
      <w:proofErr w:type="spellEnd"/>
      <w:r w:rsidR="00FD0888" w:rsidRPr="00FD0888">
        <w:rPr>
          <w:i/>
          <w:iCs/>
        </w:rPr>
        <w:t xml:space="preserve"> of the </w:t>
      </w:r>
      <w:proofErr w:type="spellStart"/>
      <w:r w:rsidR="00FD0888" w:rsidRPr="00FD0888">
        <w:rPr>
          <w:i/>
          <w:iCs/>
        </w:rPr>
        <w:t>Oppressed</w:t>
      </w:r>
      <w:proofErr w:type="spellEnd"/>
      <w:r w:rsidR="00FD0888" w:rsidRPr="00FD0888">
        <w:rPr>
          <w:i/>
          <w:iCs/>
          <w:vertAlign w:val="superscript"/>
        </w:rPr>
        <w:footnoteReference w:id="5"/>
      </w:r>
      <w:r w:rsidR="00FD0888" w:rsidRPr="00FD0888">
        <w:t xml:space="preserve">, </w:t>
      </w:r>
      <w:proofErr w:type="spellStart"/>
      <w:r w:rsidR="00FD0888" w:rsidRPr="00FD0888">
        <w:t>Boal</w:t>
      </w:r>
      <w:proofErr w:type="spellEnd"/>
      <w:r w:rsidR="00FD0888" w:rsidRPr="00FD0888">
        <w:t xml:space="preserve"> explique que lors d’une représentation théâtrale, le spectateur ne doit pas rester passif. Au contraire, il doit absolument participer de manière active au spectacle auquel il assiste. </w:t>
      </w:r>
      <w:proofErr w:type="spellStart"/>
      <w:r w:rsidR="00FD0888" w:rsidRPr="00FD0888">
        <w:t>Boal</w:t>
      </w:r>
      <w:proofErr w:type="spellEnd"/>
      <w:r w:rsidR="00FD0888" w:rsidRPr="00FD0888">
        <w:t xml:space="preserve"> (p. 155) écrit : « Le spectateur est moins qu’un homme et il est nécessaire de l’humaniser, de lui redonner toute sa capacité d’action. Lui aussi doit être un sujet, un acteur sur le même plan que ceux communément considérés comme des acteurs, qui doivent eux aussi être spectateurs</w:t>
      </w:r>
      <w:r w:rsidR="00FD0888" w:rsidRPr="00FD0888">
        <w:rPr>
          <w:vertAlign w:val="superscript"/>
        </w:rPr>
        <w:footnoteReference w:id="6"/>
      </w:r>
      <w:r w:rsidR="00FD0888" w:rsidRPr="00FD0888">
        <w:t> ».</w:t>
      </w:r>
    </w:p>
    <w:p w:rsidR="00FD0888" w:rsidRPr="00984CE6" w:rsidRDefault="00FD0888" w:rsidP="00FD0888">
      <w:pPr>
        <w:rPr>
          <w:b/>
        </w:rPr>
      </w:pPr>
      <w:r w:rsidRPr="00984CE6">
        <w:rPr>
          <w:b/>
        </w:rPr>
        <w:lastRenderedPageBreak/>
        <w:t>Document</w:t>
      </w:r>
      <w:r w:rsidR="00C25B3D" w:rsidRPr="00984CE6">
        <w:rPr>
          <w:b/>
        </w:rPr>
        <w:t xml:space="preserve"> 2</w:t>
      </w:r>
      <w:r w:rsidRPr="00984CE6">
        <w:rPr>
          <w:b/>
        </w:rPr>
        <w:t> :</w:t>
      </w:r>
    </w:p>
    <w:p w:rsidR="00BC0708" w:rsidRPr="00984CE6" w:rsidRDefault="00BC0708" w:rsidP="00F67B80">
      <w:pPr>
        <w:jc w:val="both"/>
        <w:rPr>
          <w:b/>
        </w:rPr>
        <w:sectPr w:rsidR="00BC0708" w:rsidRPr="00984CE6">
          <w:pgSz w:w="11906" w:h="16838"/>
          <w:pgMar w:top="1417" w:right="1417" w:bottom="1417" w:left="1417" w:header="708" w:footer="708" w:gutter="0"/>
          <w:cols w:space="708"/>
          <w:docGrid w:linePitch="360"/>
        </w:sectPr>
      </w:pPr>
    </w:p>
    <w:p w:rsidR="00FD0888" w:rsidRPr="00FD0888" w:rsidRDefault="00FD0888" w:rsidP="00F67B80">
      <w:pPr>
        <w:jc w:val="both"/>
      </w:pPr>
      <w:r w:rsidRPr="00FD0888">
        <w:t xml:space="preserve">Nous devons nous demander ce </w:t>
      </w:r>
      <w:r w:rsidRPr="009D0F13">
        <w:t xml:space="preserve">qu’est </w:t>
      </w:r>
      <w:r w:rsidR="0059633E" w:rsidRPr="009D0F13">
        <w:t>«</w:t>
      </w:r>
      <w:r w:rsidR="0059633E">
        <w:t> </w:t>
      </w:r>
      <w:r w:rsidRPr="00FD0888">
        <w:t xml:space="preserve">l’esprit d’une communauté » et si, dans les réseaux, il se développe d’une façon spécifique. Certains psychologues se plaisent à étudier ce qu’ils appellent </w:t>
      </w:r>
      <w:proofErr w:type="gramStart"/>
      <w:r w:rsidRPr="00FD0888">
        <w:t>les  SDCV</w:t>
      </w:r>
      <w:proofErr w:type="gramEnd"/>
      <w:r w:rsidRPr="00FD0888">
        <w:t xml:space="preserve">) (Sens De </w:t>
      </w:r>
      <w:r w:rsidR="00BC0708">
        <w:t>l</w:t>
      </w:r>
      <w:r w:rsidRPr="00FD0888">
        <w:t>a Communauté Virtuelle) et cultivent l’ambition de pouvoir le mesurer et le comparer au sentiment d’appartenance à une communauté hors ligne</w:t>
      </w:r>
      <w:r w:rsidRPr="00FD0888">
        <w:rPr>
          <w:vertAlign w:val="superscript"/>
        </w:rPr>
        <w:footnoteReference w:id="7"/>
      </w:r>
      <w:r w:rsidRPr="00FD0888">
        <w:t>. Il y a certainement, autant du point de vue de la quantité que de la qualité, des ressemblances entre les deux types de groupements. On</w:t>
      </w:r>
      <w:r w:rsidR="00C9604C">
        <w:t xml:space="preserve"> sait</w:t>
      </w:r>
      <w:r w:rsidRPr="00FD0888">
        <w:t xml:space="preserve"> par exem</w:t>
      </w:r>
      <w:r w:rsidR="00C5312F">
        <w:t xml:space="preserve">ple noter que plus un individu </w:t>
      </w:r>
      <w:r w:rsidRPr="00FD0888">
        <w:t>est reconnu par la collectivité, plus il se sent appartenir</w:t>
      </w:r>
      <w:r w:rsidR="00C5312F">
        <w:t xml:space="preserve"> à celle</w:t>
      </w:r>
      <w:r w:rsidRPr="00FD0888">
        <w:t>-ci, ou que le sentiment d’épanouissement éprouvé par chaque membre tient davantage à l’échange avec les autres qu’à son activité solitaire. Ou encore – au moins dans le cas des communautés plus établies – que la connexion émotionnelle et l’attachement qui nous font participer à l’indignation et à la joie de la collectivité peuvent parfois induire une sensation de manque, quand nous sommes privés de la compagnie des autres membres</w:t>
      </w:r>
      <w:r w:rsidRPr="00FD0888">
        <w:rPr>
          <w:vertAlign w:val="superscript"/>
        </w:rPr>
        <w:footnoteReference w:id="8"/>
      </w:r>
      <w:r w:rsidRPr="00FD0888">
        <w:t xml:space="preserve">. Ce sens de communauté-là n’a rien de spécifiquement « virtuel ». Il peut être ressenti tant par les membres d’une chorale de quartier que par les joueurs de </w:t>
      </w:r>
      <w:proofErr w:type="spellStart"/>
      <w:r w:rsidRPr="00FD0888">
        <w:rPr>
          <w:i/>
        </w:rPr>
        <w:t>Habbo</w:t>
      </w:r>
      <w:proofErr w:type="spellEnd"/>
      <w:r w:rsidRPr="00FD0888">
        <w:rPr>
          <w:i/>
        </w:rPr>
        <w:t xml:space="preserve"> </w:t>
      </w:r>
      <w:proofErr w:type="spellStart"/>
      <w:r w:rsidRPr="00FD0888">
        <w:rPr>
          <w:i/>
        </w:rPr>
        <w:t>Hotel</w:t>
      </w:r>
      <w:proofErr w:type="spellEnd"/>
      <w:r w:rsidRPr="00FD0888">
        <w:t>, l’un des sites pour adolescents les plus importants de la seconde moitié des années 2000, qui compte plus de 70 000 nouveaux inscrits chaque jour.</w:t>
      </w:r>
    </w:p>
    <w:p w:rsidR="00FD0888" w:rsidRPr="00FD0888" w:rsidRDefault="00FD0888" w:rsidP="00F67B80">
      <w:pPr>
        <w:jc w:val="both"/>
      </w:pPr>
      <w:r w:rsidRPr="00FD0888">
        <w:t>Toutefois, d’autres éléments sont propres aux groupements en ligne. Nous avons déjà mentionné le sentiment d’</w:t>
      </w:r>
      <w:r w:rsidRPr="00FD0888">
        <w:rPr>
          <w:i/>
        </w:rPr>
        <w:t>efficacité</w:t>
      </w:r>
      <w:r w:rsidRPr="00FD0888">
        <w:t xml:space="preserve"> des contributeurs de Wikipédia. Un autre élément distinctif des réseaux numériques est le fait que, dans la majorité des cas, les actions de support et d’entraide sont réalisées de manière </w:t>
      </w:r>
      <w:r w:rsidRPr="00FD0888">
        <w:rPr>
          <w:i/>
        </w:rPr>
        <w:t>visible</w:t>
      </w:r>
      <w:r w:rsidRPr="00FD0888">
        <w:t>. Dans les communauté</w:t>
      </w:r>
      <w:r w:rsidR="00F67B80">
        <w:t>s</w:t>
      </w:r>
      <w:r w:rsidRPr="00FD0888">
        <w:t xml:space="preserve"> traditionnelles, la philanthropie des « bienfaiteurs mystérieux » peut encore être un facteur important</w:t>
      </w:r>
      <w:r w:rsidR="00C5312F">
        <w:t xml:space="preserve"> </w:t>
      </w:r>
      <w:r w:rsidRPr="00FD0888">
        <w:t xml:space="preserve">[…]. Mais sur le web, nous l’avons dit, le don n’est pas un acte de bienfaisance </w:t>
      </w:r>
      <w:r w:rsidRPr="009D0F13">
        <w:t>unilatéral</w:t>
      </w:r>
      <w:r w:rsidR="0059633E" w:rsidRPr="009D0F13">
        <w:t>,</w:t>
      </w:r>
      <w:r w:rsidRPr="00FD0888">
        <w:t xml:space="preserve"> il est une obligation sociale réciproque. Pour être récompensé, il doit être perceptible, documentable –ostentatoire, à la limite. Les usagers en viennent à renoncer à leur anonymat pour être mieux reconnus en tant que don</w:t>
      </w:r>
      <w:r w:rsidR="00C5312F">
        <w:t>at</w:t>
      </w:r>
      <w:r w:rsidRPr="00FD0888">
        <w:t xml:space="preserve">eurs. Leur identité « civile » reste peut-être cachée derrière un pseudonyme, mais grâce à leurs contributions, ils se démarquent, </w:t>
      </w:r>
      <w:proofErr w:type="gramStart"/>
      <w:r w:rsidRPr="00FD0888">
        <w:t>s’affichent  en</w:t>
      </w:r>
      <w:proofErr w:type="gramEnd"/>
      <w:r w:rsidRPr="00FD0888">
        <w:t xml:space="preserve"> membre actifs d’une communauté vivante</w:t>
      </w:r>
      <w:r w:rsidRPr="00FD0888">
        <w:rPr>
          <w:vertAlign w:val="superscript"/>
        </w:rPr>
        <w:footnoteReference w:id="9"/>
      </w:r>
      <w:r w:rsidRPr="00FD0888">
        <w:t>. Autant d’éléments qui nous conduisent vers cette conclusion : les communautés, d</w:t>
      </w:r>
      <w:r w:rsidR="00BC0708">
        <w:t>ans les espaces informationnel</w:t>
      </w:r>
      <w:r w:rsidRPr="00FD0888">
        <w:t>s, ne sont pas moins « ressenties » que celles qui sont établies dans les espaces physiques.</w:t>
      </w:r>
    </w:p>
    <w:p w:rsidR="00BC0708" w:rsidRDefault="00FD0888" w:rsidP="00BC0708">
      <w:pPr>
        <w:jc w:val="both"/>
      </w:pPr>
      <w:r w:rsidRPr="00FD0888">
        <w:t>Désormais, il est impossible d’affirmer que les seules vraies communautés sont basées sur un lieu qu’on partage. Les rencontres en face à face ne sont plus la modalité exclusive d’interaction. Le contexte sociétal contemporain s’est enrichi de nouvelles manières de « se sentir en communauté » et, par cela, de « faire de la communauté ». Il faut bien souligner ce dernier point : les pratiques communautaires</w:t>
      </w:r>
      <w:r w:rsidR="00BC0708">
        <w:t xml:space="preserve"> en </w:t>
      </w:r>
      <w:r w:rsidR="00BC0708" w:rsidRPr="00BC0708">
        <w:t xml:space="preserve">ligne s’ajoutent à celles qui préexistent et ne se substituent pas à elles. </w:t>
      </w:r>
    </w:p>
    <w:p w:rsidR="008A595D" w:rsidRDefault="008A595D" w:rsidP="00BC0708">
      <w:pPr>
        <w:jc w:val="both"/>
      </w:pPr>
    </w:p>
    <w:p w:rsidR="008A595D" w:rsidRPr="00BC0708" w:rsidRDefault="008A595D" w:rsidP="00BC0708">
      <w:pPr>
        <w:jc w:val="both"/>
      </w:pPr>
      <w:r>
        <w:rPr>
          <w:noProof/>
          <w:lang w:eastAsia="fr-FR"/>
        </w:rPr>
        <mc:AlternateContent>
          <mc:Choice Requires="wps">
            <w:drawing>
              <wp:anchor distT="0" distB="0" distL="114300" distR="114300" simplePos="0" relativeHeight="251662336" behindDoc="0" locked="0" layoutInCell="1" allowOverlap="1" wp14:anchorId="0C984345" wp14:editId="48595627">
                <wp:simplePos x="0" y="0"/>
                <wp:positionH relativeFrom="margin">
                  <wp:align>left</wp:align>
                </wp:positionH>
                <wp:positionV relativeFrom="paragraph">
                  <wp:posOffset>952</wp:posOffset>
                </wp:positionV>
                <wp:extent cx="5843588" cy="528637"/>
                <wp:effectExtent l="0" t="0" r="5080" b="5080"/>
                <wp:wrapNone/>
                <wp:docPr id="4" name="Zone de texte 4"/>
                <wp:cNvGraphicFramePr/>
                <a:graphic xmlns:a="http://schemas.openxmlformats.org/drawingml/2006/main">
                  <a:graphicData uri="http://schemas.microsoft.com/office/word/2010/wordprocessingShape">
                    <wps:wsp>
                      <wps:cNvSpPr txBox="1"/>
                      <wps:spPr>
                        <a:xfrm>
                          <a:off x="0" y="0"/>
                          <a:ext cx="5843588" cy="528637"/>
                        </a:xfrm>
                        <a:prstGeom prst="rect">
                          <a:avLst/>
                        </a:prstGeom>
                        <a:solidFill>
                          <a:schemeClr val="lt1"/>
                        </a:solidFill>
                        <a:ln w="6350">
                          <a:noFill/>
                        </a:ln>
                      </wps:spPr>
                      <wps:txbx>
                        <w:txbxContent>
                          <w:p w:rsidR="008A595D" w:rsidRPr="008A595D" w:rsidRDefault="008A595D" w:rsidP="008A595D">
                            <w:r w:rsidRPr="008A595D">
                              <w:rPr>
                                <w:bCs/>
                              </w:rPr>
                              <w:t xml:space="preserve">Antonio </w:t>
                            </w:r>
                            <w:proofErr w:type="spellStart"/>
                            <w:r w:rsidRPr="008A595D">
                              <w:rPr>
                                <w:bCs/>
                              </w:rPr>
                              <w:t>Casilli</w:t>
                            </w:r>
                            <w:proofErr w:type="spellEnd"/>
                            <w:r w:rsidRPr="008A595D">
                              <w:rPr>
                                <w:bCs/>
                              </w:rPr>
                              <w:t xml:space="preserve">, </w:t>
                            </w:r>
                            <w:r w:rsidRPr="008A595D">
                              <w:rPr>
                                <w:bCs/>
                                <w:i/>
                                <w:iCs/>
                              </w:rPr>
                              <w:t xml:space="preserve">Les liaisons numériques. Vers une nouvelle </w:t>
                            </w:r>
                            <w:proofErr w:type="gramStart"/>
                            <w:r w:rsidRPr="008A595D">
                              <w:rPr>
                                <w:bCs/>
                                <w:i/>
                                <w:iCs/>
                              </w:rPr>
                              <w:t>sociabilité ?</w:t>
                            </w:r>
                            <w:r w:rsidRPr="008A595D">
                              <w:t>,</w:t>
                            </w:r>
                            <w:proofErr w:type="gramEnd"/>
                            <w:r w:rsidRPr="008A595D">
                              <w:t xml:space="preserve"> Seuil, coll. « La couleur des idées », 2010, pages 56-57 </w:t>
                            </w:r>
                          </w:p>
                          <w:p w:rsidR="008A595D" w:rsidRDefault="008A595D" w:rsidP="008A59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984345" id="Zone de texte 4" o:spid="_x0000_s1027" type="#_x0000_t202" style="position:absolute;left:0;text-align:left;margin-left:0;margin-top:.05pt;width:460.15pt;height:41.6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7SQIAAIUEAAAOAAAAZHJzL2Uyb0RvYy54bWysVE1v2zAMvQ/YfxB0X5zvpkacIkuRYUDR&#10;FkiHArspshwLkERNUmJnv36UnKRZt9Owi0yJ1BP5Hun5XasVOQjnJZiCDnp9SoThUEqzK+i3l/Wn&#10;GSU+MFMyBUYU9Cg8vVt8/DBvbC6GUIMqhSMIYnze2ILWIdg8yzyvhWa+B1YYdFbgNAu4dbusdKxB&#10;dK2yYb8/zRpwpXXAhfd4et856SLhV5Xg4amqvAhEFRRzC2l1ad3GNVvMWb5zzNaSn9Jg/5CFZtLg&#10;oxeoexYY2Tv5B5SW3IGHKvQ46AyqSnKRasBqBv131WxqZkWqBcnx9kKT/3+w/PHw7IgsCzqmxDCN&#10;En1HoUgpSBBtEGQcKWqszzFyYzE2tJ+hRanP5x4PY+Vt5XT8Yk0E/Uj28UIwIhGOh5PZeDSZYUtw&#10;9E2Gs+noJsJkb7et8+GLAE2iUVCHAiZe2eHBhy70HBIf86BkuZZKpU1sGrFSjhwYyq1CyhHBf4tS&#10;hjQFnY4m/QRsIF7vkJXBXGKtXU3RCu22TfRc6t1CeUQaHHS95C1fS8z1gfnwzBw2D1aOAxGecKkU&#10;4Ftwsiipwf3823mMR03RS0mDzVhQ/2PPnKBEfTWo9u1gPI7dmzbjyc0QN+7as732mL1eARIwwNGz&#10;PJkxPqizWTnQrzg3y/gqupjh+HZBw9lchW5EcO64WC5TEParZeHBbCyP0JHwqMRL+8qcPckVW+YR&#10;zm3L8neqdbHxpoHlPkAlk6SR547VE/3Y66kpTnMZh+l6n6Le/h6LXwAAAP//AwBQSwMEFAAGAAgA&#10;AAAhABB965bdAAAABAEAAA8AAABkcnMvZG93bnJldi54bWxMj0tPwzAQhO9I/Adrkbgg6lALWtI4&#10;FUI8pN5oeKg3N16SiHgdxW4S/j3bEz3uzGjm22w9uVYM2IfGk4abWQICqfS2oUrDe/F8vQQRoiFr&#10;Wk+o4RcDrPPzs8yk1o/0hsM2VoJLKKRGQx1jl0oZyhqdCTPfIbH37XtnIp99JW1vRi53rZwnyZ10&#10;piFeqE2HjzWWP9uD07C7qr42YXr5GNWt6p5eh2LxaQutLy+mhxWIiFP8D8MRn9EhZ6a9P5ANotXA&#10;j8SjKti7nycKxF7DUimQeSZP4fM/AAAA//8DAFBLAQItABQABgAIAAAAIQC2gziS/gAAAOEBAAAT&#10;AAAAAAAAAAAAAAAAAAAAAABbQ29udGVudF9UeXBlc10ueG1sUEsBAi0AFAAGAAgAAAAhADj9If/W&#10;AAAAlAEAAAsAAAAAAAAAAAAAAAAALwEAAF9yZWxzLy5yZWxzUEsBAi0AFAAGAAgAAAAhAMQn6btJ&#10;AgAAhQQAAA4AAAAAAAAAAAAAAAAALgIAAGRycy9lMm9Eb2MueG1sUEsBAi0AFAAGAAgAAAAhABB9&#10;65bdAAAABAEAAA8AAAAAAAAAAAAAAAAAowQAAGRycy9kb3ducmV2LnhtbFBLBQYAAAAABAAEAPMA&#10;AACtBQAAAAA=&#10;" fillcolor="white [3201]" stroked="f" strokeweight=".5pt">
                <v:textbox>
                  <w:txbxContent>
                    <w:p w:rsidR="008A595D" w:rsidRPr="008A595D" w:rsidRDefault="008A595D" w:rsidP="008A595D">
                      <w:r w:rsidRPr="008A595D">
                        <w:rPr>
                          <w:bCs/>
                        </w:rPr>
                        <w:t xml:space="preserve">Antonio Casilli, </w:t>
                      </w:r>
                      <w:r w:rsidRPr="008A595D">
                        <w:rPr>
                          <w:bCs/>
                          <w:i/>
                          <w:iCs/>
                        </w:rPr>
                        <w:t>Les liaisons numériques. Vers une nouvelle sociabilité ?</w:t>
                      </w:r>
                      <w:r w:rsidRPr="008A595D">
                        <w:t xml:space="preserve">, Seuil, coll. « La couleur des idées », 2010, pages 56-57 </w:t>
                      </w:r>
                    </w:p>
                    <w:p w:rsidR="008A595D" w:rsidRDefault="008A595D" w:rsidP="008A595D"/>
                  </w:txbxContent>
                </v:textbox>
                <w10:wrap anchorx="margin"/>
              </v:shape>
            </w:pict>
          </mc:Fallback>
        </mc:AlternateContent>
      </w:r>
    </w:p>
    <w:p w:rsidR="008A595D" w:rsidRDefault="008A595D" w:rsidP="00F67B80">
      <w:pPr>
        <w:jc w:val="both"/>
        <w:sectPr w:rsidR="008A595D" w:rsidSect="00BC0708">
          <w:type w:val="continuous"/>
          <w:pgSz w:w="11906" w:h="16838"/>
          <w:pgMar w:top="1418" w:right="1418" w:bottom="1418" w:left="1418" w:header="709" w:footer="709" w:gutter="0"/>
          <w:lnNumType w:countBy="5" w:restart="newSection"/>
          <w:cols w:space="708"/>
          <w:docGrid w:linePitch="360"/>
        </w:sectPr>
      </w:pPr>
    </w:p>
    <w:p w:rsidR="00F46C19" w:rsidRPr="008A595D" w:rsidRDefault="00F46C19" w:rsidP="00FD0888">
      <w:pPr>
        <w:rPr>
          <w:b/>
        </w:rPr>
      </w:pPr>
      <w:r w:rsidRPr="008A595D">
        <w:rPr>
          <w:b/>
        </w:rPr>
        <w:lastRenderedPageBreak/>
        <w:t>Document</w:t>
      </w:r>
      <w:r w:rsidR="00C662F4" w:rsidRPr="008A595D">
        <w:rPr>
          <w:b/>
        </w:rPr>
        <w:t xml:space="preserve"> 3</w:t>
      </w:r>
    </w:p>
    <w:p w:rsidR="00C25B3D" w:rsidRPr="00C25B3D" w:rsidRDefault="00C25B3D" w:rsidP="00FD0888">
      <w:pPr>
        <w:rPr>
          <w:i/>
        </w:rPr>
      </w:pPr>
      <w:r w:rsidRPr="00C25B3D">
        <w:rPr>
          <w:i/>
        </w:rPr>
        <w:t xml:space="preserve">Octave désespéré de ne pouvoir être aimé d’une belle aristocrate veut mourir. Le mystérieux docteur </w:t>
      </w:r>
      <w:proofErr w:type="spellStart"/>
      <w:r w:rsidRPr="00C25B3D">
        <w:rPr>
          <w:i/>
        </w:rPr>
        <w:t>Cherbonneau</w:t>
      </w:r>
      <w:proofErr w:type="spellEnd"/>
      <w:r w:rsidRPr="00C25B3D">
        <w:rPr>
          <w:i/>
        </w:rPr>
        <w:t xml:space="preserve"> lui propose par un procédé magique de migrer dans le corps de son mari.</w:t>
      </w:r>
    </w:p>
    <w:p w:rsidR="00BC0708" w:rsidRDefault="00BC0708" w:rsidP="00F46C19"/>
    <w:p w:rsidR="008A595D" w:rsidRDefault="00B13051" w:rsidP="00B13051">
      <w:pPr>
        <w:ind w:left="-709"/>
      </w:pP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57468</wp:posOffset>
                </wp:positionH>
                <wp:positionV relativeFrom="paragraph">
                  <wp:posOffset>3188653</wp:posOffset>
                </wp:positionV>
                <wp:extent cx="5705475" cy="257175"/>
                <wp:effectExtent l="0" t="0" r="9525" b="9525"/>
                <wp:wrapNone/>
                <wp:docPr id="7" name="Zone de texte 7"/>
                <wp:cNvGraphicFramePr/>
                <a:graphic xmlns:a="http://schemas.openxmlformats.org/drawingml/2006/main">
                  <a:graphicData uri="http://schemas.microsoft.com/office/word/2010/wordprocessingShape">
                    <wps:wsp>
                      <wps:cNvSpPr txBox="1"/>
                      <wps:spPr>
                        <a:xfrm>
                          <a:off x="0" y="0"/>
                          <a:ext cx="5705475" cy="257175"/>
                        </a:xfrm>
                        <a:prstGeom prst="rect">
                          <a:avLst/>
                        </a:prstGeom>
                        <a:solidFill>
                          <a:schemeClr val="lt1"/>
                        </a:solidFill>
                        <a:ln w="6350">
                          <a:noFill/>
                        </a:ln>
                      </wps:spPr>
                      <wps:txbx>
                        <w:txbxContent>
                          <w:p w:rsidR="00B13051" w:rsidRDefault="00B13051" w:rsidP="00B13051">
                            <w:r>
                              <w:t xml:space="preserve">                                                                           </w:t>
                            </w:r>
                            <w:r w:rsidRPr="00B13051">
                              <w:t>Théophile Gautier, Avatar, 1856, extrait du chapitre IV</w:t>
                            </w:r>
                          </w:p>
                          <w:p w:rsidR="00B13051" w:rsidRPr="00B13051" w:rsidRDefault="00B13051" w:rsidP="00B13051"/>
                          <w:p w:rsidR="00B13051" w:rsidRDefault="00B130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7" o:spid="_x0000_s1028" type="#_x0000_t202" style="position:absolute;left:0;text-align:left;margin-left:4.55pt;margin-top:251.1pt;width:449.2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dUZSQIAAIUEAAAOAAAAZHJzL2Uyb0RvYy54bWysVFFv2jAQfp+0/2D5fSQwUrqIUDEqpkmo&#10;rUSnSnszjkMsOT7PNiTs1+/sEMq6PU17cc6+8+e777vL/K5rFDkK6yTogo5HKSVCcyil3hf02/P6&#10;wy0lzjNdMgVaFPQkHL1bvH83b00uJlCDKoUlCKJd3pqC1t6bPEkcr0XD3AiM0OiswDbM49buk9Ky&#10;FtEblUzS9CZpwZbGAhfO4el976SLiF9VgvvHqnLCE1VQzM3H1cZ1F9ZkMWf53jJTS35Og/1DFg2T&#10;Gh+9QN0zz8jByj+gGsktOKj8iEOTQFVJLmINWM04fVPNtmZGxFqQHGcuNLn/B8sfjk+WyLKgM0o0&#10;a1Ci7ygUKQXxovOCzAJFrXE5Rm4NxvruM3Qo9XDu8DBU3lW2CV+siaAfyT5dCEYkwvEwm6XZdJZR&#10;wtE3yWZjtBE+eb1trPNfBDQkGAW1KGDklR03zvehQ0h4zIGS5VoqFTehacRKWXJkKLfyMUcE/y1K&#10;adIW9OZjlkZgDeF6j6w05hJq7WsKlu92XaRnMtS7g/KENFjoe8kZvpaY64Y5/8QsNg9WjgPhH3Gp&#10;FOBbcLYoqcH+/Nt5iEdN0UtJi81YUPfjwKygRH3VqPan8XQaujduptlsght77dlde/ShWQESMMbR&#10;MzyaId6rwawsNC84N8vwKrqY5vh2Qf1grnw/Ijh3XCyXMQj71TC/0VvDA3QgPCjx3L0wa85yhZZ5&#10;gKFtWf5GtT423NSwPHioZJQ08NyzeqYfez02xXkuwzBd72PU699j8QsAAP//AwBQSwMEFAAGAAgA&#10;AAAhAKTJiIvhAAAACQEAAA8AAABkcnMvZG93bnJldi54bWxMj8FOwzAQRO9I/IO1SFxQ6zSlDQ1x&#10;KoSAStxoCoibGy9JRLyOYjcJf89yguPsjGbeZtvJtmLA3jeOFCzmEQik0pmGKgWH4nF2A8IHTUa3&#10;jlDBN3rY5udnmU6NG+kFh32oBJeQT7WCOoQuldKXNVrt565DYu/T9VYHln0lTa9HLretjKNoLa1u&#10;iBdq3eF9jeXX/mQVfFxV789+enodl6tl97AbiuTNFEpdXkx3tyACTuEvDL/4jA45Mx3diYwXrYLN&#10;goMKVlEcg2B/EyVrEEe+XMcJyDyT/z/IfwAAAP//AwBQSwECLQAUAAYACAAAACEAtoM4kv4AAADh&#10;AQAAEwAAAAAAAAAAAAAAAAAAAAAAW0NvbnRlbnRfVHlwZXNdLnhtbFBLAQItABQABgAIAAAAIQA4&#10;/SH/1gAAAJQBAAALAAAAAAAAAAAAAAAAAC8BAABfcmVscy8ucmVsc1BLAQItABQABgAIAAAAIQB7&#10;pdUZSQIAAIUEAAAOAAAAAAAAAAAAAAAAAC4CAABkcnMvZTJvRG9jLnhtbFBLAQItABQABgAIAAAA&#10;IQCkyYiL4QAAAAkBAAAPAAAAAAAAAAAAAAAAAKMEAABkcnMvZG93bnJldi54bWxQSwUGAAAAAAQA&#10;BADzAAAAsQUAAAAA&#10;" fillcolor="white [3201]" stroked="f" strokeweight=".5pt">
                <v:textbox>
                  <w:txbxContent>
                    <w:p w:rsidR="00B13051" w:rsidRDefault="00B13051" w:rsidP="00B13051">
                      <w:r>
                        <w:t xml:space="preserve">                                                                           </w:t>
                      </w:r>
                      <w:r w:rsidRPr="00B13051">
                        <w:t>Théophile Gautier, Avatar, 1856, extrait du chapitre IV</w:t>
                      </w:r>
                    </w:p>
                    <w:p w:rsidR="00B13051" w:rsidRPr="00B13051" w:rsidRDefault="00B13051" w:rsidP="00B13051"/>
                    <w:p w:rsidR="00B13051" w:rsidRDefault="00B13051"/>
                  </w:txbxContent>
                </v:textbox>
              </v:shape>
            </w:pict>
          </mc:Fallback>
        </mc:AlternateContent>
      </w:r>
      <w:r w:rsidR="008A595D">
        <w:rPr>
          <w:noProof/>
          <w:lang w:eastAsia="fr-FR"/>
        </w:rPr>
        <w:drawing>
          <wp:inline distT="0" distB="0" distL="0" distR="0" wp14:anchorId="6FA9B37B" wp14:editId="4DCF770A">
            <wp:extent cx="6331716" cy="31686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41635" cy="3173614"/>
                    </a:xfrm>
                    <a:prstGeom prst="rect">
                      <a:avLst/>
                    </a:prstGeom>
                  </pic:spPr>
                </pic:pic>
              </a:graphicData>
            </a:graphic>
          </wp:inline>
        </w:drawing>
      </w:r>
    </w:p>
    <w:p w:rsidR="00B13051" w:rsidRDefault="00B13051" w:rsidP="00B13051">
      <w:pPr>
        <w:ind w:left="-709"/>
      </w:pPr>
    </w:p>
    <w:p w:rsidR="00B13051" w:rsidRDefault="00B13051" w:rsidP="00B13051">
      <w:pPr>
        <w:ind w:left="-709"/>
        <w:rPr>
          <w:noProof/>
          <w:lang w:eastAsia="fr-FR"/>
        </w:rPr>
      </w:pPr>
    </w:p>
    <w:p w:rsidR="00B13051" w:rsidRDefault="00B13051" w:rsidP="00B13051">
      <w:pPr>
        <w:ind w:left="-709"/>
        <w:sectPr w:rsidR="00B13051">
          <w:pgSz w:w="11906" w:h="16838"/>
          <w:pgMar w:top="1417" w:right="1417" w:bottom="1417" w:left="1417" w:header="708" w:footer="708" w:gutter="0"/>
          <w:cols w:space="708"/>
          <w:docGrid w:linePitch="360"/>
        </w:sectPr>
      </w:pP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114618</wp:posOffset>
                </wp:positionH>
                <wp:positionV relativeFrom="paragraph">
                  <wp:posOffset>3029268</wp:posOffset>
                </wp:positionV>
                <wp:extent cx="5886450" cy="338137"/>
                <wp:effectExtent l="0" t="0" r="0" b="5080"/>
                <wp:wrapNone/>
                <wp:docPr id="9" name="Zone de texte 9"/>
                <wp:cNvGraphicFramePr/>
                <a:graphic xmlns:a="http://schemas.openxmlformats.org/drawingml/2006/main">
                  <a:graphicData uri="http://schemas.microsoft.com/office/word/2010/wordprocessingShape">
                    <wps:wsp>
                      <wps:cNvSpPr txBox="1"/>
                      <wps:spPr>
                        <a:xfrm>
                          <a:off x="0" y="0"/>
                          <a:ext cx="5886450" cy="338137"/>
                        </a:xfrm>
                        <a:prstGeom prst="rect">
                          <a:avLst/>
                        </a:prstGeom>
                        <a:solidFill>
                          <a:schemeClr val="lt1"/>
                        </a:solidFill>
                        <a:ln w="6350">
                          <a:noFill/>
                        </a:ln>
                      </wps:spPr>
                      <wps:txbx>
                        <w:txbxContent>
                          <w:p w:rsidR="00B13051" w:rsidRPr="00B13051" w:rsidRDefault="00B13051" w:rsidP="00B13051">
                            <w:r>
                              <w:t xml:space="preserve">                                                                                        </w:t>
                            </w:r>
                            <w:r w:rsidRPr="00B13051">
                              <w:t xml:space="preserve">Extrait de </w:t>
                            </w:r>
                            <w:proofErr w:type="spellStart"/>
                            <w:r w:rsidRPr="00B13051">
                              <w:rPr>
                                <w:i/>
                              </w:rPr>
                              <w:t>Ready</w:t>
                            </w:r>
                            <w:proofErr w:type="spellEnd"/>
                            <w:r w:rsidRPr="00B13051">
                              <w:rPr>
                                <w:i/>
                              </w:rPr>
                              <w:t xml:space="preserve"> Player</w:t>
                            </w:r>
                            <w:r w:rsidRPr="00B13051">
                              <w:t xml:space="preserve">, Ernest Cline (Michel </w:t>
                            </w:r>
                            <w:proofErr w:type="spellStart"/>
                            <w:r w:rsidRPr="00B13051">
                              <w:t>Lafon</w:t>
                            </w:r>
                            <w:proofErr w:type="spellEnd"/>
                            <w:r w:rsidRPr="00B1305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9" o:spid="_x0000_s1029" type="#_x0000_t202" style="position:absolute;left:0;text-align:left;margin-left:9.05pt;margin-top:238.55pt;width:463.5pt;height:26.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ZvSQIAAIUEAAAOAAAAZHJzL2Uyb0RvYy54bWysVE1v2zAMvQ/YfxB0X5zvJkacIkuRYUDQ&#10;FkiHArspshQbkEVNUmJnv36UHKdZt9Owi0yJ1BP5HunFfVMpchLWlaAzOuj1KRGaQ17qQ0a/vWw+&#10;zShxnumcKdAio2fh6P3y44dFbVIxhAJULixBEO3S2mS08N6kSeJ4ISrmemCERqcEWzGPW3tIcstq&#10;RK9UMuz3p0kNNjcWuHAOTx9aJ11GfCkF909SOuGJyijm5uNq47oPa7JcsPRgmSlKfkmD/UMWFSs1&#10;PnqFemCekaMt/4CqSm7BgfQ9DlUCUpZcxBqwmkH/XTW7ghkRa0FynLnS5P4fLH88PVtS5hmdU6JZ&#10;hRJ9R6FILogXjRdkHiiqjUsxcmcw1jefoUGpu3OHh6HyRtoqfLEmgn4k+3wlGJEIx8PJbDYdT9DF&#10;0TcazQajuwCTvN021vkvAioSjIxaFDDyyk5b59vQLiQ85kCV+aZUKm5C04i1suTEUG7lY44I/luU&#10;0qTO6HSEaYRLGsL1FllpzCXU2tYULN/sm0jPqKt3D/kZabDQ9pIzfFNirlvm/DOz2DxYHg6Ef8JF&#10;KsC34GJRUoD9+bfzEI+aopeSGpsxo+7HkVlBifqqUe35YDwO3Rs348ndEDf21rO/9ehjtQYkYICj&#10;Z3g0Q7xXnSktVK84N6vwKrqY5vh2Rn1nrn07Ijh3XKxWMQj71TC/1TvDA3TgLijx0rwyay5yhZZ5&#10;hK5tWfpOtTa2ZX119CDLKGnguWX1Qj/2emyKy1yGYbrdx6i3v8fyFwAAAP//AwBQSwMEFAAGAAgA&#10;AAAhAKV22A7hAAAACgEAAA8AAABkcnMvZG93bnJldi54bWxMj81OwzAQhO9IvIO1SFwQdUoaUkKc&#10;CiF+JG40LYibGy9JRLyOYjcJb89ygtuM9tPsTL6ZbSdGHHzrSMFyEYFAqpxpqVawKx8v1yB80GR0&#10;5wgVfKOHTXF6kuvMuIlecdyGWnAI+UwraELoMyl91aDVfuF6JL59usHqwHaopRn0xOG2k1dRdC2t&#10;bok/NLrH+warr+3RKvi4qN9f/Py0n+Ik7h+exzJ9M6VS52fz3S2IgHP4g+G3PleHgjsd3JGMFx37&#10;9ZJJBas0ZcHAzSphcVCQxFEMssjl/wnFDwAAAP//AwBQSwECLQAUAAYACAAAACEAtoM4kv4AAADh&#10;AQAAEwAAAAAAAAAAAAAAAAAAAAAAW0NvbnRlbnRfVHlwZXNdLnhtbFBLAQItABQABgAIAAAAIQA4&#10;/SH/1gAAAJQBAAALAAAAAAAAAAAAAAAAAC8BAABfcmVscy8ucmVsc1BLAQItABQABgAIAAAAIQB0&#10;XSZvSQIAAIUEAAAOAAAAAAAAAAAAAAAAAC4CAABkcnMvZTJvRG9jLnhtbFBLAQItABQABgAIAAAA&#10;IQCldtgO4QAAAAoBAAAPAAAAAAAAAAAAAAAAAKMEAABkcnMvZG93bnJldi54bWxQSwUGAAAAAAQA&#10;BADzAAAAsQUAAAAA&#10;" fillcolor="white [3201]" stroked="f" strokeweight=".5pt">
                <v:textbox>
                  <w:txbxContent>
                    <w:p w:rsidR="00B13051" w:rsidRPr="00B13051" w:rsidRDefault="00B13051" w:rsidP="00B13051">
                      <w:r>
                        <w:t xml:space="preserve">                                                                                        </w:t>
                      </w:r>
                      <w:r w:rsidRPr="00B13051">
                        <w:t xml:space="preserve">Extrait de </w:t>
                      </w:r>
                      <w:r w:rsidRPr="00B13051">
                        <w:rPr>
                          <w:i/>
                        </w:rPr>
                        <w:t>Ready Player</w:t>
                      </w:r>
                      <w:r w:rsidRPr="00B13051">
                        <w:t>, Ernest Cline (Michel Lafon)</w:t>
                      </w:r>
                    </w:p>
                  </w:txbxContent>
                </v:textbox>
              </v:shape>
            </w:pict>
          </mc:Fallback>
        </mc:AlternateContent>
      </w:r>
      <w:r>
        <w:rPr>
          <w:noProof/>
          <w:lang w:eastAsia="fr-FR"/>
        </w:rPr>
        <w:drawing>
          <wp:inline distT="0" distB="0" distL="0" distR="0" wp14:anchorId="01C9B7EB" wp14:editId="5A8F4D81">
            <wp:extent cx="6667651" cy="26003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83473" cy="2606496"/>
                    </a:xfrm>
                    <a:prstGeom prst="rect">
                      <a:avLst/>
                    </a:prstGeom>
                  </pic:spPr>
                </pic:pic>
              </a:graphicData>
            </a:graphic>
          </wp:inline>
        </w:drawing>
      </w:r>
    </w:p>
    <w:p w:rsidR="00C5312F" w:rsidRDefault="00C5312F" w:rsidP="00FD0888"/>
    <w:p w:rsidR="00C5312F" w:rsidRPr="00984CE6" w:rsidRDefault="00C5312F" w:rsidP="00FD0888">
      <w:pPr>
        <w:rPr>
          <w:b/>
        </w:rPr>
      </w:pPr>
      <w:r w:rsidRPr="00984CE6">
        <w:rPr>
          <w:b/>
        </w:rPr>
        <w:t>Document</w:t>
      </w:r>
      <w:r w:rsidR="00C662F4" w:rsidRPr="00984CE6">
        <w:rPr>
          <w:b/>
        </w:rPr>
        <w:t xml:space="preserve"> 5</w:t>
      </w:r>
    </w:p>
    <w:p w:rsidR="00C5312F" w:rsidRDefault="00C5312F" w:rsidP="00C5312F">
      <w:pPr>
        <w:keepNext/>
      </w:pPr>
      <w:r>
        <w:rPr>
          <w:noProof/>
          <w:lang w:eastAsia="fr-FR"/>
        </w:rPr>
        <w:drawing>
          <wp:inline distT="0" distB="0" distL="0" distR="0" wp14:anchorId="6E3D6A27" wp14:editId="451E4491">
            <wp:extent cx="6223095" cy="625792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61091" cy="6296133"/>
                    </a:xfrm>
                    <a:prstGeom prst="rect">
                      <a:avLst/>
                    </a:prstGeom>
                  </pic:spPr>
                </pic:pic>
              </a:graphicData>
            </a:graphic>
          </wp:inline>
        </w:drawing>
      </w:r>
    </w:p>
    <w:p w:rsidR="00C5312F" w:rsidRDefault="00C5312F" w:rsidP="00C5312F">
      <w:pPr>
        <w:pStyle w:val="Lgende"/>
      </w:pPr>
      <w:r>
        <w:t xml:space="preserve"> Appartement de </w:t>
      </w:r>
      <w:proofErr w:type="spellStart"/>
      <w:r>
        <w:t>Pasokan</w:t>
      </w:r>
      <w:proofErr w:type="spellEnd"/>
      <w:r>
        <w:t xml:space="preserve"> Otaku photographié par </w:t>
      </w:r>
      <w:proofErr w:type="spellStart"/>
      <w:r>
        <w:t>Kyoichi</w:t>
      </w:r>
      <w:proofErr w:type="spellEnd"/>
      <w:r>
        <w:t xml:space="preserve"> </w:t>
      </w:r>
      <w:proofErr w:type="spellStart"/>
      <w:r>
        <w:t>Tsuzuki</w:t>
      </w:r>
      <w:proofErr w:type="spellEnd"/>
      <w:r>
        <w:t xml:space="preserve"> en 2005 et publ</w:t>
      </w:r>
      <w:r w:rsidRPr="009D0F13">
        <w:t>i</w:t>
      </w:r>
      <w:r w:rsidR="001C5BD8" w:rsidRPr="009D0F13">
        <w:t>é</w:t>
      </w:r>
      <w:r>
        <w:t xml:space="preserve"> dans </w:t>
      </w:r>
      <w:proofErr w:type="spellStart"/>
      <w:r>
        <w:t>Universe</w:t>
      </w:r>
      <w:proofErr w:type="spellEnd"/>
      <w:r>
        <w:t xml:space="preserve"> for Rent</w:t>
      </w:r>
    </w:p>
    <w:p w:rsidR="00FD0888" w:rsidRDefault="00FD0888"/>
    <w:sectPr w:rsidR="00FD08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6E4" w:rsidRDefault="001116E4" w:rsidP="00FD0888">
      <w:pPr>
        <w:spacing w:after="0" w:line="240" w:lineRule="auto"/>
      </w:pPr>
      <w:r>
        <w:separator/>
      </w:r>
    </w:p>
  </w:endnote>
  <w:endnote w:type="continuationSeparator" w:id="0">
    <w:p w:rsidR="001116E4" w:rsidRDefault="001116E4" w:rsidP="00FD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13" w:rsidRDefault="009D0F13">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5</w:t>
    </w:r>
    <w:r>
      <w:rPr>
        <w:caps/>
        <w:color w:val="5B9BD5" w:themeColor="accent1"/>
      </w:rPr>
      <w:fldChar w:fldCharType="end"/>
    </w:r>
  </w:p>
  <w:p w:rsidR="009D0F13" w:rsidRDefault="009D0F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6E4" w:rsidRDefault="001116E4" w:rsidP="00FD0888">
      <w:pPr>
        <w:spacing w:after="0" w:line="240" w:lineRule="auto"/>
      </w:pPr>
      <w:r>
        <w:separator/>
      </w:r>
    </w:p>
  </w:footnote>
  <w:footnote w:type="continuationSeparator" w:id="0">
    <w:p w:rsidR="001116E4" w:rsidRDefault="001116E4" w:rsidP="00FD0888">
      <w:pPr>
        <w:spacing w:after="0" w:line="240" w:lineRule="auto"/>
      </w:pPr>
      <w:r>
        <w:continuationSeparator/>
      </w:r>
    </w:p>
  </w:footnote>
  <w:footnote w:id="1">
    <w:p w:rsidR="007D610A" w:rsidRPr="009C5B05" w:rsidRDefault="007D610A" w:rsidP="007D610A">
      <w:pPr>
        <w:pStyle w:val="Notedebasdepage"/>
        <w:rPr>
          <w:lang w:val="en-US"/>
        </w:rPr>
      </w:pPr>
      <w:r>
        <w:rPr>
          <w:rStyle w:val="Appelnotedebasdep"/>
        </w:rPr>
        <w:footnoteRef/>
      </w:r>
      <w:r w:rsidRPr="009C5B05">
        <w:rPr>
          <w:lang w:val="en-US"/>
        </w:rPr>
        <w:t xml:space="preserve"> Gee James Paul (2003). What Video Games Have to Teach Us About Learning and Literacy (New York: Palgrave/Macmillan)</w:t>
      </w:r>
    </w:p>
  </w:footnote>
  <w:footnote w:id="2">
    <w:p w:rsidR="007D610A" w:rsidRPr="00C9604C" w:rsidRDefault="007D610A" w:rsidP="007D610A">
      <w:pPr>
        <w:pStyle w:val="Notedebasdepage"/>
      </w:pPr>
      <w:r>
        <w:rPr>
          <w:rStyle w:val="Appelnotedebasdep"/>
        </w:rPr>
        <w:footnoteRef/>
      </w:r>
      <w:r>
        <w:t xml:space="preserve"> </w:t>
      </w:r>
      <w:r w:rsidRPr="00A665DA">
        <w:t xml:space="preserve">Sauvé, L. et Kaufman, D. (2010). </w:t>
      </w:r>
      <w:r w:rsidRPr="00A665DA">
        <w:rPr>
          <w:i/>
          <w:iCs/>
        </w:rPr>
        <w:t>Jeux éducatifs et simulations : étude de cas et leçons apprises</w:t>
      </w:r>
      <w:r w:rsidRPr="00A665DA">
        <w:t xml:space="preserve">. Québec : Presses de l’Université du Québec. Chapitre 5 La fantaisie favorise-t-elle l'apprentissage dans le cas des jeux numériques ? </w:t>
      </w:r>
      <w:proofErr w:type="spellStart"/>
      <w:r w:rsidRPr="00C9604C">
        <w:t>Mahboubeh</w:t>
      </w:r>
      <w:proofErr w:type="spellEnd"/>
      <w:r w:rsidRPr="00C9604C">
        <w:t xml:space="preserve"> </w:t>
      </w:r>
      <w:proofErr w:type="spellStart"/>
      <w:r w:rsidRPr="00C9604C">
        <w:t>Asgari</w:t>
      </w:r>
      <w:proofErr w:type="spellEnd"/>
      <w:r w:rsidRPr="00C9604C">
        <w:t xml:space="preserve"> et David Kaufman, P. 123</w:t>
      </w:r>
    </w:p>
  </w:footnote>
  <w:footnote w:id="3">
    <w:p w:rsidR="00FD0888" w:rsidRPr="009D0F13" w:rsidRDefault="00FD0888" w:rsidP="00FD0888">
      <w:pPr>
        <w:pStyle w:val="Notedebasdepage"/>
      </w:pPr>
      <w:r>
        <w:rPr>
          <w:rStyle w:val="Appelnotedebasdep"/>
        </w:rPr>
        <w:footnoteRef/>
      </w:r>
      <w:r w:rsidRPr="009D0F13">
        <w:t xml:space="preserve">  Notre proposition de traduction </w:t>
      </w:r>
      <w:proofErr w:type="gramStart"/>
      <w:r w:rsidR="0059633E" w:rsidRPr="009D0F13">
        <w:t>pour:</w:t>
      </w:r>
      <w:proofErr w:type="gramEnd"/>
      <w:r w:rsidRPr="009D0F13">
        <w:t xml:space="preserve"> « </w:t>
      </w:r>
      <w:r w:rsidRPr="009D0F13">
        <w:rPr>
          <w:i/>
          <w:iCs/>
        </w:rPr>
        <w:t xml:space="preserve">[avatars] </w:t>
      </w:r>
      <w:proofErr w:type="spellStart"/>
      <w:r w:rsidRPr="009D0F13">
        <w:rPr>
          <w:i/>
          <w:iCs/>
        </w:rPr>
        <w:t>emit</w:t>
      </w:r>
      <w:proofErr w:type="spellEnd"/>
      <w:r w:rsidRPr="009D0F13">
        <w:rPr>
          <w:i/>
          <w:iCs/>
        </w:rPr>
        <w:t xml:space="preserve"> </w:t>
      </w:r>
      <w:proofErr w:type="spellStart"/>
      <w:r w:rsidRPr="009D0F13">
        <w:rPr>
          <w:i/>
          <w:iCs/>
        </w:rPr>
        <w:t>individuating</w:t>
      </w:r>
      <w:proofErr w:type="spellEnd"/>
      <w:r w:rsidRPr="009D0F13">
        <w:rPr>
          <w:i/>
          <w:iCs/>
        </w:rPr>
        <w:t xml:space="preserve"> </w:t>
      </w:r>
      <w:proofErr w:type="spellStart"/>
      <w:r w:rsidRPr="009D0F13">
        <w:rPr>
          <w:i/>
          <w:iCs/>
        </w:rPr>
        <w:t>properties</w:t>
      </w:r>
      <w:proofErr w:type="spellEnd"/>
      <w:r w:rsidRPr="009D0F13">
        <w:rPr>
          <w:i/>
          <w:iCs/>
        </w:rPr>
        <w:t xml:space="preserve"> back to </w:t>
      </w:r>
      <w:proofErr w:type="spellStart"/>
      <w:r w:rsidRPr="009D0F13">
        <w:rPr>
          <w:i/>
          <w:iCs/>
        </w:rPr>
        <w:t>their</w:t>
      </w:r>
      <w:proofErr w:type="spellEnd"/>
      <w:r w:rsidRPr="009D0F13">
        <w:rPr>
          <w:i/>
          <w:iCs/>
        </w:rPr>
        <w:t xml:space="preserve"> </w:t>
      </w:r>
      <w:proofErr w:type="spellStart"/>
      <w:r w:rsidRPr="009D0F13">
        <w:rPr>
          <w:i/>
          <w:iCs/>
        </w:rPr>
        <w:t>owne</w:t>
      </w:r>
      <w:proofErr w:type="spellEnd"/>
      <w:r w:rsidRPr="009D0F13">
        <w:rPr>
          <w:i/>
          <w:iCs/>
        </w:rPr>
        <w:t xml:space="preserve"> </w:t>
      </w:r>
      <w:hyperlink r:id="rId1" w:anchor="ftn10" w:history="1">
        <w:r w:rsidRPr="009D0F13">
          <w:rPr>
            <w:rStyle w:val="Lienhypertexte"/>
          </w:rPr>
          <w:t>(...)</w:t>
        </w:r>
      </w:hyperlink>
    </w:p>
  </w:footnote>
  <w:footnote w:id="4">
    <w:p w:rsidR="00FD0888" w:rsidRPr="002C1A9E" w:rsidRDefault="00FD0888" w:rsidP="00FD0888">
      <w:pPr>
        <w:pStyle w:val="Notedebasdepage"/>
        <w:rPr>
          <w:lang w:val="en-US"/>
        </w:rPr>
      </w:pPr>
      <w:r w:rsidRPr="0059633E">
        <w:rPr>
          <w:rStyle w:val="Appelnotedebasdep"/>
        </w:rPr>
        <w:footnoteRef/>
      </w:r>
      <w:r w:rsidRPr="0059633E">
        <w:t xml:space="preserve"> Berry, Vincent (2012</w:t>
      </w:r>
      <w:proofErr w:type="gramStart"/>
      <w:r w:rsidRPr="0059633E">
        <w:t>) .</w:t>
      </w:r>
      <w:proofErr w:type="gramEnd"/>
      <w:r w:rsidRPr="0059633E">
        <w:t xml:space="preserve"> </w:t>
      </w:r>
      <w:r w:rsidRPr="0059633E">
        <w:rPr>
          <w:i/>
          <w:iCs/>
        </w:rPr>
        <w:t>L’Expérience virtuelle. Jouer, vivre, apprendre dans un jeu vidéo</w:t>
      </w:r>
      <w:r w:rsidRPr="0059633E">
        <w:t>.</w:t>
      </w:r>
      <w:r w:rsidRPr="0059633E">
        <w:rPr>
          <w:i/>
          <w:iCs/>
        </w:rPr>
        <w:t xml:space="preserve"> </w:t>
      </w:r>
      <w:r w:rsidRPr="002C1A9E">
        <w:rPr>
          <w:lang w:val="en-US"/>
        </w:rPr>
        <w:t>Presses Universitaires de Rennes.</w:t>
      </w:r>
    </w:p>
  </w:footnote>
  <w:footnote w:id="5">
    <w:p w:rsidR="00FD0888" w:rsidRPr="00504A32" w:rsidRDefault="00FD0888" w:rsidP="00FD0888">
      <w:pPr>
        <w:pStyle w:val="Notedebasdepage"/>
        <w:rPr>
          <w:lang w:val="de-DE"/>
        </w:rPr>
      </w:pPr>
      <w:r>
        <w:rPr>
          <w:rStyle w:val="Appelnotedebasdep"/>
        </w:rPr>
        <w:footnoteRef/>
      </w:r>
      <w:r w:rsidRPr="00504A32">
        <w:rPr>
          <w:lang w:val="en-US"/>
        </w:rPr>
        <w:t xml:space="preserve"> </w:t>
      </w:r>
      <w:proofErr w:type="spellStart"/>
      <w:r w:rsidRPr="00504A32">
        <w:rPr>
          <w:lang w:val="de-DE"/>
        </w:rPr>
        <w:t>Boal</w:t>
      </w:r>
      <w:proofErr w:type="spellEnd"/>
      <w:r w:rsidRPr="00504A32">
        <w:rPr>
          <w:lang w:val="de-DE"/>
        </w:rPr>
        <w:t xml:space="preserve">, </w:t>
      </w:r>
      <w:proofErr w:type="gramStart"/>
      <w:r w:rsidRPr="00504A32">
        <w:rPr>
          <w:lang w:val="de-DE"/>
        </w:rPr>
        <w:t>Augusto.</w:t>
      </w:r>
      <w:r>
        <w:rPr>
          <w:lang w:val="de-DE"/>
        </w:rPr>
        <w:t>(</w:t>
      </w:r>
      <w:proofErr w:type="gramEnd"/>
      <w:r>
        <w:rPr>
          <w:lang w:val="de-DE"/>
        </w:rPr>
        <w:t>1979)</w:t>
      </w:r>
      <w:r w:rsidRPr="00504A32">
        <w:rPr>
          <w:lang w:val="de-DE"/>
        </w:rPr>
        <w:t xml:space="preserve"> </w:t>
      </w:r>
      <w:proofErr w:type="spellStart"/>
      <w:r w:rsidRPr="00504A32">
        <w:rPr>
          <w:i/>
          <w:iCs/>
          <w:lang w:val="de-DE"/>
        </w:rPr>
        <w:t>Theatre</w:t>
      </w:r>
      <w:proofErr w:type="spellEnd"/>
      <w:r w:rsidRPr="00504A32">
        <w:rPr>
          <w:i/>
          <w:iCs/>
          <w:lang w:val="de-DE"/>
        </w:rPr>
        <w:t xml:space="preserve"> </w:t>
      </w:r>
      <w:proofErr w:type="spellStart"/>
      <w:r w:rsidRPr="00504A32">
        <w:rPr>
          <w:i/>
          <w:iCs/>
          <w:lang w:val="de-DE"/>
        </w:rPr>
        <w:t>of</w:t>
      </w:r>
      <w:proofErr w:type="spellEnd"/>
      <w:r w:rsidRPr="00504A32">
        <w:rPr>
          <w:i/>
          <w:iCs/>
          <w:lang w:val="de-DE"/>
        </w:rPr>
        <w:t xml:space="preserve"> </w:t>
      </w:r>
      <w:proofErr w:type="spellStart"/>
      <w:r w:rsidRPr="00504A32">
        <w:rPr>
          <w:i/>
          <w:iCs/>
          <w:lang w:val="de-DE"/>
        </w:rPr>
        <w:t>the</w:t>
      </w:r>
      <w:proofErr w:type="spellEnd"/>
      <w:r w:rsidRPr="00504A32">
        <w:rPr>
          <w:i/>
          <w:iCs/>
          <w:lang w:val="de-DE"/>
        </w:rPr>
        <w:t xml:space="preserve"> </w:t>
      </w:r>
      <w:proofErr w:type="spellStart"/>
      <w:r w:rsidRPr="00504A32">
        <w:rPr>
          <w:i/>
          <w:iCs/>
          <w:lang w:val="de-DE"/>
        </w:rPr>
        <w:t>Oppressed</w:t>
      </w:r>
      <w:proofErr w:type="spellEnd"/>
      <w:r w:rsidRPr="00504A32">
        <w:rPr>
          <w:lang w:val="de-DE"/>
        </w:rPr>
        <w:t xml:space="preserve">. New York, </w:t>
      </w:r>
      <w:proofErr w:type="spellStart"/>
      <w:r w:rsidRPr="00504A32">
        <w:rPr>
          <w:lang w:val="de-DE"/>
        </w:rPr>
        <w:t>Th</w:t>
      </w:r>
      <w:r>
        <w:rPr>
          <w:lang w:val="de-DE"/>
        </w:rPr>
        <w:t>eatre</w:t>
      </w:r>
      <w:proofErr w:type="spellEnd"/>
      <w:r>
        <w:rPr>
          <w:lang w:val="de-DE"/>
        </w:rPr>
        <w:t xml:space="preserve"> Communications Group</w:t>
      </w:r>
      <w:r w:rsidRPr="00504A32">
        <w:rPr>
          <w:lang w:val="de-DE"/>
        </w:rPr>
        <w:t>.</w:t>
      </w:r>
    </w:p>
  </w:footnote>
  <w:footnote w:id="6">
    <w:p w:rsidR="00FD0888" w:rsidRPr="00504A32" w:rsidRDefault="00FD0888" w:rsidP="00FD0888">
      <w:pPr>
        <w:pStyle w:val="Notedebasdepage"/>
        <w:rPr>
          <w:lang w:val="en-US"/>
        </w:rPr>
      </w:pPr>
      <w:r>
        <w:rPr>
          <w:rStyle w:val="Appelnotedebasdep"/>
        </w:rPr>
        <w:footnoteRef/>
      </w:r>
      <w:r w:rsidRPr="00504A32">
        <w:rPr>
          <w:lang w:val="en-US"/>
        </w:rPr>
        <w:t xml:space="preserve">  </w:t>
      </w:r>
      <w:r w:rsidRPr="00504A32">
        <w:rPr>
          <w:lang w:val="en"/>
        </w:rPr>
        <w:t xml:space="preserve">Notre proposition de </w:t>
      </w:r>
      <w:proofErr w:type="spellStart"/>
      <w:r w:rsidRPr="00504A32">
        <w:rPr>
          <w:lang w:val="en"/>
        </w:rPr>
        <w:t>traduction</w:t>
      </w:r>
      <w:proofErr w:type="spellEnd"/>
      <w:r w:rsidRPr="00504A32">
        <w:rPr>
          <w:lang w:val="en"/>
        </w:rPr>
        <w:t xml:space="preserve"> pour « </w:t>
      </w:r>
      <w:r w:rsidRPr="00504A32">
        <w:rPr>
          <w:i/>
          <w:iCs/>
          <w:lang w:val="en"/>
        </w:rPr>
        <w:t xml:space="preserve">The spectator is less than a man and it is necessary to </w:t>
      </w:r>
      <w:proofErr w:type="spellStart"/>
      <w:r w:rsidRPr="00504A32">
        <w:rPr>
          <w:i/>
          <w:iCs/>
          <w:lang w:val="en"/>
        </w:rPr>
        <w:t>huma</w:t>
      </w:r>
      <w:proofErr w:type="spellEnd"/>
      <w:r w:rsidRPr="00504A32">
        <w:rPr>
          <w:i/>
          <w:iCs/>
          <w:lang w:val="en"/>
        </w:rPr>
        <w:t xml:space="preserve"> </w:t>
      </w:r>
      <w:hyperlink r:id="rId2" w:anchor="ftn11" w:history="1">
        <w:r w:rsidRPr="00504A32">
          <w:rPr>
            <w:rStyle w:val="Lienhypertexte"/>
            <w:lang w:val="en-US"/>
          </w:rPr>
          <w:t>(...)</w:t>
        </w:r>
      </w:hyperlink>
    </w:p>
    <w:p w:rsidR="00FD0888" w:rsidRPr="00504A32" w:rsidRDefault="00FD0888" w:rsidP="00FD0888">
      <w:pPr>
        <w:pStyle w:val="Notedebasdepage"/>
        <w:rPr>
          <w:lang w:val="en-US"/>
        </w:rPr>
      </w:pPr>
    </w:p>
  </w:footnote>
  <w:footnote w:id="7">
    <w:p w:rsidR="00FD0888" w:rsidRPr="00AD7A5C" w:rsidRDefault="00FD0888" w:rsidP="00FD0888">
      <w:pPr>
        <w:pStyle w:val="Notedebasdepage"/>
        <w:rPr>
          <w:lang w:val="en-US"/>
        </w:rPr>
      </w:pPr>
      <w:r>
        <w:rPr>
          <w:rStyle w:val="Appelnotedebasdep"/>
        </w:rPr>
        <w:footnoteRef/>
      </w:r>
      <w:r w:rsidRPr="00AD7A5C">
        <w:rPr>
          <w:lang w:val="en-US"/>
        </w:rPr>
        <w:t xml:space="preserve"> Anita Blanchard, (2007) </w:t>
      </w:r>
      <w:r>
        <w:rPr>
          <w:lang w:val="en-US"/>
        </w:rPr>
        <w:t>“</w:t>
      </w:r>
      <w:r w:rsidRPr="00EC19D4">
        <w:rPr>
          <w:i/>
          <w:lang w:val="en-US"/>
        </w:rPr>
        <w:t xml:space="preserve">Developing a Sense of </w:t>
      </w:r>
      <w:proofErr w:type="spellStart"/>
      <w:r w:rsidRPr="00EC19D4">
        <w:rPr>
          <w:i/>
          <w:lang w:val="en-US"/>
        </w:rPr>
        <w:t>Virtueal</w:t>
      </w:r>
      <w:proofErr w:type="spellEnd"/>
      <w:r w:rsidRPr="00EC19D4">
        <w:rPr>
          <w:i/>
          <w:lang w:val="en-US"/>
        </w:rPr>
        <w:t xml:space="preserve"> Community Measure</w:t>
      </w:r>
      <w:r w:rsidRPr="00AD7A5C">
        <w:rPr>
          <w:lang w:val="en-US"/>
        </w:rPr>
        <w:t xml:space="preserve"> », </w:t>
      </w:r>
      <w:r>
        <w:rPr>
          <w:lang w:val="en-US"/>
        </w:rPr>
        <w:t xml:space="preserve">in </w:t>
      </w:r>
      <w:r w:rsidRPr="00AD7A5C">
        <w:rPr>
          <w:lang w:val="en-US"/>
        </w:rPr>
        <w:t>Cyber</w:t>
      </w:r>
      <w:r>
        <w:rPr>
          <w:lang w:val="en-US"/>
        </w:rPr>
        <w:t xml:space="preserve"> </w:t>
      </w:r>
      <w:r w:rsidRPr="00AD7A5C">
        <w:rPr>
          <w:lang w:val="en-US"/>
        </w:rPr>
        <w:t>Psychology and Behavior, vol</w:t>
      </w:r>
      <w:r>
        <w:rPr>
          <w:lang w:val="en-US"/>
        </w:rPr>
        <w:t>.</w:t>
      </w:r>
      <w:r w:rsidRPr="00AD7A5C">
        <w:rPr>
          <w:lang w:val="en-US"/>
        </w:rPr>
        <w:t xml:space="preserve"> 10, n°6, p. </w:t>
      </w:r>
      <w:r>
        <w:rPr>
          <w:lang w:val="en-US"/>
        </w:rPr>
        <w:t>827-830</w:t>
      </w:r>
    </w:p>
  </w:footnote>
  <w:footnote w:id="8">
    <w:p w:rsidR="00FD0888" w:rsidRPr="00AD7A5C" w:rsidRDefault="00FD0888" w:rsidP="00FD0888">
      <w:pPr>
        <w:pStyle w:val="Notedebasdepage"/>
        <w:rPr>
          <w:lang w:val="en-US"/>
        </w:rPr>
      </w:pPr>
      <w:r>
        <w:rPr>
          <w:rStyle w:val="Appelnotedebasdep"/>
        </w:rPr>
        <w:footnoteRef/>
      </w:r>
      <w:r w:rsidRPr="00AD7A5C">
        <w:rPr>
          <w:lang w:val="en-US"/>
        </w:rPr>
        <w:t xml:space="preserve"> Hanna-</w:t>
      </w:r>
      <w:proofErr w:type="spellStart"/>
      <w:r w:rsidRPr="00AD7A5C">
        <w:rPr>
          <w:lang w:val="en-US"/>
        </w:rPr>
        <w:t>Kaisa</w:t>
      </w:r>
      <w:proofErr w:type="spellEnd"/>
      <w:r w:rsidRPr="00AD7A5C">
        <w:rPr>
          <w:lang w:val="en-US"/>
        </w:rPr>
        <w:t xml:space="preserve"> </w:t>
      </w:r>
      <w:proofErr w:type="spellStart"/>
      <w:r w:rsidRPr="00AD7A5C">
        <w:rPr>
          <w:lang w:val="en-US"/>
        </w:rPr>
        <w:t>Ellonen</w:t>
      </w:r>
      <w:proofErr w:type="spellEnd"/>
      <w:r w:rsidRPr="00AD7A5C">
        <w:rPr>
          <w:lang w:val="en-US"/>
        </w:rPr>
        <w:t xml:space="preserve">, </w:t>
      </w:r>
      <w:proofErr w:type="spellStart"/>
      <w:r w:rsidRPr="00AD7A5C">
        <w:rPr>
          <w:lang w:val="en-US"/>
        </w:rPr>
        <w:t>Miia</w:t>
      </w:r>
      <w:proofErr w:type="spellEnd"/>
      <w:r w:rsidRPr="00AD7A5C">
        <w:rPr>
          <w:lang w:val="en-US"/>
        </w:rPr>
        <w:t xml:space="preserve"> </w:t>
      </w:r>
      <w:proofErr w:type="spellStart"/>
      <w:r w:rsidRPr="00AD7A5C">
        <w:rPr>
          <w:lang w:val="en-US"/>
        </w:rPr>
        <w:t>Kosoen</w:t>
      </w:r>
      <w:proofErr w:type="spellEnd"/>
      <w:r w:rsidRPr="00AD7A5C">
        <w:rPr>
          <w:lang w:val="en-US"/>
        </w:rPr>
        <w:t xml:space="preserve"> et </w:t>
      </w:r>
      <w:proofErr w:type="spellStart"/>
      <w:r w:rsidRPr="00AD7A5C">
        <w:rPr>
          <w:lang w:val="en-US"/>
        </w:rPr>
        <w:t>Kaisa</w:t>
      </w:r>
      <w:proofErr w:type="spellEnd"/>
      <w:r w:rsidRPr="00AD7A5C">
        <w:rPr>
          <w:lang w:val="en-US"/>
        </w:rPr>
        <w:t xml:space="preserve"> </w:t>
      </w:r>
      <w:proofErr w:type="spellStart"/>
      <w:r w:rsidRPr="00AD7A5C">
        <w:rPr>
          <w:lang w:val="en-US"/>
        </w:rPr>
        <w:t>Henttonen</w:t>
      </w:r>
      <w:proofErr w:type="spellEnd"/>
      <w:r w:rsidRPr="00AD7A5C">
        <w:rPr>
          <w:lang w:val="en-US"/>
        </w:rPr>
        <w:t xml:space="preserve"> (2007) </w:t>
      </w:r>
      <w:r>
        <w:rPr>
          <w:lang w:val="en-US"/>
        </w:rPr>
        <w:t>“</w:t>
      </w:r>
      <w:r w:rsidRPr="00EC19D4">
        <w:rPr>
          <w:i/>
          <w:lang w:val="en-US"/>
        </w:rPr>
        <w:t>The Development of a Sense of Virtual Community</w:t>
      </w:r>
      <w:r>
        <w:rPr>
          <w:lang w:val="en-US"/>
        </w:rPr>
        <w:t>”</w:t>
      </w:r>
      <w:r w:rsidRPr="00AD7A5C">
        <w:rPr>
          <w:lang w:val="en-US"/>
        </w:rPr>
        <w:t xml:space="preserve">, </w:t>
      </w:r>
      <w:r>
        <w:rPr>
          <w:lang w:val="en-US"/>
        </w:rPr>
        <w:t xml:space="preserve">in </w:t>
      </w:r>
      <w:r w:rsidRPr="00AD7A5C">
        <w:rPr>
          <w:lang w:val="en-US"/>
        </w:rPr>
        <w:t xml:space="preserve">International Journal of Web Based Communities, vol. </w:t>
      </w:r>
      <w:r>
        <w:rPr>
          <w:lang w:val="en-US"/>
        </w:rPr>
        <w:t>3, n°1 p. 114-130.</w:t>
      </w:r>
    </w:p>
  </w:footnote>
  <w:footnote w:id="9">
    <w:p w:rsidR="00FD0888" w:rsidRPr="00245D5F" w:rsidRDefault="00FD0888" w:rsidP="00FD0888">
      <w:pPr>
        <w:pStyle w:val="Notedebasdepage"/>
        <w:rPr>
          <w:lang w:val="en-US"/>
        </w:rPr>
      </w:pPr>
      <w:r>
        <w:rPr>
          <w:rStyle w:val="Appelnotedebasdep"/>
        </w:rPr>
        <w:footnoteRef/>
      </w:r>
      <w:r w:rsidRPr="00245D5F">
        <w:rPr>
          <w:lang w:val="en-US"/>
        </w:rPr>
        <w:t xml:space="preserve"> Peter M. Forster,</w:t>
      </w:r>
      <w:r>
        <w:rPr>
          <w:lang w:val="en-US"/>
        </w:rPr>
        <w:t xml:space="preserve"> 2004,</w:t>
      </w:r>
      <w:r w:rsidRPr="00245D5F">
        <w:rPr>
          <w:lang w:val="en-US"/>
        </w:rPr>
        <w:t xml:space="preserve"> </w:t>
      </w:r>
      <w:r>
        <w:rPr>
          <w:lang w:val="en-US"/>
        </w:rPr>
        <w:t>“</w:t>
      </w:r>
      <w:r w:rsidRPr="00EC19D4">
        <w:rPr>
          <w:i/>
          <w:lang w:val="en-US"/>
        </w:rPr>
        <w:t>Physiological Sense of Community in Groups on the Internet</w:t>
      </w:r>
      <w:r>
        <w:rPr>
          <w:lang w:val="en-US"/>
        </w:rPr>
        <w:t xml:space="preserve">”, in </w:t>
      </w:r>
      <w:proofErr w:type="spellStart"/>
      <w:r>
        <w:rPr>
          <w:lang w:val="en-US"/>
        </w:rPr>
        <w:t>Behaviour</w:t>
      </w:r>
      <w:proofErr w:type="spellEnd"/>
      <w:r>
        <w:rPr>
          <w:lang w:val="en-US"/>
        </w:rPr>
        <w:t xml:space="preserve"> Ch</w:t>
      </w:r>
      <w:r w:rsidRPr="00245D5F">
        <w:rPr>
          <w:lang w:val="en-US"/>
        </w:rPr>
        <w:t>ange, vol 21 n°2,</w:t>
      </w:r>
      <w:r>
        <w:rPr>
          <w:lang w:val="en-US"/>
        </w:rPr>
        <w:t xml:space="preserve"> p. 141-146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888"/>
    <w:rsid w:val="001116E4"/>
    <w:rsid w:val="0016771C"/>
    <w:rsid w:val="001C5BD8"/>
    <w:rsid w:val="002C1A9E"/>
    <w:rsid w:val="002C577A"/>
    <w:rsid w:val="005337D8"/>
    <w:rsid w:val="0059633E"/>
    <w:rsid w:val="00612544"/>
    <w:rsid w:val="006E49C9"/>
    <w:rsid w:val="007D610A"/>
    <w:rsid w:val="008A595D"/>
    <w:rsid w:val="00984CE6"/>
    <w:rsid w:val="009A5315"/>
    <w:rsid w:val="009D0F13"/>
    <w:rsid w:val="00AF57E1"/>
    <w:rsid w:val="00B073FB"/>
    <w:rsid w:val="00B13051"/>
    <w:rsid w:val="00B80141"/>
    <w:rsid w:val="00BC0708"/>
    <w:rsid w:val="00BE0C36"/>
    <w:rsid w:val="00C25B3D"/>
    <w:rsid w:val="00C5312F"/>
    <w:rsid w:val="00C662F4"/>
    <w:rsid w:val="00C93771"/>
    <w:rsid w:val="00C9604C"/>
    <w:rsid w:val="00CC326E"/>
    <w:rsid w:val="00F46C19"/>
    <w:rsid w:val="00F67B80"/>
    <w:rsid w:val="00F70845"/>
    <w:rsid w:val="00FD0888"/>
    <w:rsid w:val="00FF1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4B56"/>
  <w15:chartTrackingRefBased/>
  <w15:docId w15:val="{B374319A-7826-4803-B9A6-B668F5BB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0F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D08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0888"/>
    <w:rPr>
      <w:sz w:val="20"/>
      <w:szCs w:val="20"/>
    </w:rPr>
  </w:style>
  <w:style w:type="character" w:styleId="Appelnotedebasdep">
    <w:name w:val="footnote reference"/>
    <w:basedOn w:val="Policepardfaut"/>
    <w:uiPriority w:val="99"/>
    <w:semiHidden/>
    <w:unhideWhenUsed/>
    <w:rsid w:val="00FD0888"/>
    <w:rPr>
      <w:vertAlign w:val="superscript"/>
    </w:rPr>
  </w:style>
  <w:style w:type="character" w:styleId="Lienhypertexte">
    <w:name w:val="Hyperlink"/>
    <w:basedOn w:val="Policepardfaut"/>
    <w:uiPriority w:val="99"/>
    <w:unhideWhenUsed/>
    <w:rsid w:val="00FD0888"/>
    <w:rPr>
      <w:color w:val="0563C1" w:themeColor="hyperlink"/>
      <w:u w:val="single"/>
    </w:rPr>
  </w:style>
  <w:style w:type="paragraph" w:styleId="Lgende">
    <w:name w:val="caption"/>
    <w:basedOn w:val="Normal"/>
    <w:next w:val="Normal"/>
    <w:uiPriority w:val="35"/>
    <w:unhideWhenUsed/>
    <w:qFormat/>
    <w:rsid w:val="00C5312F"/>
    <w:pPr>
      <w:spacing w:after="200" w:line="240" w:lineRule="auto"/>
    </w:pPr>
    <w:rPr>
      <w:i/>
      <w:iCs/>
      <w:color w:val="44546A" w:themeColor="text2"/>
      <w:sz w:val="18"/>
      <w:szCs w:val="18"/>
    </w:rPr>
  </w:style>
  <w:style w:type="character" w:styleId="Numrodeligne">
    <w:name w:val="line number"/>
    <w:basedOn w:val="Policepardfaut"/>
    <w:uiPriority w:val="99"/>
    <w:semiHidden/>
    <w:unhideWhenUsed/>
    <w:rsid w:val="00AF57E1"/>
  </w:style>
  <w:style w:type="paragraph" w:styleId="Textedebulles">
    <w:name w:val="Balloon Text"/>
    <w:basedOn w:val="Normal"/>
    <w:link w:val="TextedebullesCar"/>
    <w:uiPriority w:val="99"/>
    <w:semiHidden/>
    <w:unhideWhenUsed/>
    <w:rsid w:val="002C57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577A"/>
    <w:rPr>
      <w:rFonts w:ascii="Segoe UI" w:hAnsi="Segoe UI" w:cs="Segoe UI"/>
      <w:sz w:val="18"/>
      <w:szCs w:val="18"/>
    </w:rPr>
  </w:style>
  <w:style w:type="paragraph" w:styleId="En-tte">
    <w:name w:val="header"/>
    <w:basedOn w:val="Normal"/>
    <w:link w:val="En-tteCar"/>
    <w:uiPriority w:val="99"/>
    <w:unhideWhenUsed/>
    <w:rsid w:val="009D0F13"/>
    <w:pPr>
      <w:tabs>
        <w:tab w:val="center" w:pos="4536"/>
        <w:tab w:val="right" w:pos="9072"/>
      </w:tabs>
      <w:spacing w:after="0" w:line="240" w:lineRule="auto"/>
    </w:pPr>
  </w:style>
  <w:style w:type="character" w:customStyle="1" w:styleId="En-tteCar">
    <w:name w:val="En-tête Car"/>
    <w:basedOn w:val="Policepardfaut"/>
    <w:link w:val="En-tte"/>
    <w:uiPriority w:val="99"/>
    <w:rsid w:val="009D0F13"/>
  </w:style>
  <w:style w:type="paragraph" w:styleId="Pieddepage">
    <w:name w:val="footer"/>
    <w:basedOn w:val="Normal"/>
    <w:link w:val="PieddepageCar"/>
    <w:uiPriority w:val="99"/>
    <w:unhideWhenUsed/>
    <w:rsid w:val="009D0F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0F13"/>
  </w:style>
  <w:style w:type="character" w:customStyle="1" w:styleId="Titre1Car">
    <w:name w:val="Titre 1 Car"/>
    <w:basedOn w:val="Policepardfaut"/>
    <w:link w:val="Titre1"/>
    <w:uiPriority w:val="9"/>
    <w:rsid w:val="009D0F1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716874">
      <w:bodyDiv w:val="1"/>
      <w:marLeft w:val="0"/>
      <w:marRight w:val="0"/>
      <w:marTop w:val="0"/>
      <w:marBottom w:val="0"/>
      <w:divBdr>
        <w:top w:val="none" w:sz="0" w:space="0" w:color="auto"/>
        <w:left w:val="none" w:sz="0" w:space="0" w:color="auto"/>
        <w:bottom w:val="none" w:sz="0" w:space="0" w:color="auto"/>
        <w:right w:val="none" w:sz="0" w:space="0" w:color="auto"/>
      </w:divBdr>
    </w:div>
    <w:div w:id="209921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journals-openedition-org.scd1.univ-fcomte.fr/apliut/5740" TargetMode="External"/><Relationship Id="rId1" Type="http://schemas.openxmlformats.org/officeDocument/2006/relationships/hyperlink" Target="https://journals-openedition-org.scd1.univ-fcomte.fr/apliut/574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101EE-398F-4B2B-8A3D-143FBD10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1281</Words>
  <Characters>7046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cbolouch</dc:creator>
  <cp:keywords/>
  <dc:description/>
  <cp:lastModifiedBy>Sébastien</cp:lastModifiedBy>
  <cp:revision>3</cp:revision>
  <cp:lastPrinted>2018-09-13T07:16:00Z</cp:lastPrinted>
  <dcterms:created xsi:type="dcterms:W3CDTF">2018-11-08T17:23:00Z</dcterms:created>
  <dcterms:modified xsi:type="dcterms:W3CDTF">2018-11-10T19:28:00Z</dcterms:modified>
</cp:coreProperties>
</file>