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46A" w:rsidRPr="0033646A" w:rsidRDefault="0033646A" w:rsidP="0033646A">
      <w:pPr>
        <w:spacing w:before="450" w:after="450" w:line="240" w:lineRule="auto"/>
        <w:jc w:val="center"/>
        <w:outlineLvl w:val="1"/>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662305</wp:posOffset>
                </wp:positionV>
                <wp:extent cx="584835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F5E0E4"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pt,52.15pt" to="465.4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" strokecolor="#4472c4 [3204]" strokeweight="1pt">
                <v:stroke joinstyle="miter"/>
              </v:line>
            </w:pict>
          </mc:Fallback>
        </mc:AlternateContent>
      </w:r>
      <w:r w:rsidRPr="0033646A">
        <w:rPr>
          <w:rFonts w:ascii="Arial" w:eastAsia="Times New Roman" w:hAnsi="Arial" w:cs="Arial"/>
          <w:sz w:val="24"/>
          <w:szCs w:val="24"/>
          <w:lang w:eastAsia="fr-FR"/>
        </w:rPr>
        <w:t>Programme limitatif pour les années scolaires 2024-2025, 2025-2026 et 2026</w:t>
      </w:r>
      <w:r w:rsidRPr="0033646A">
        <w:rPr>
          <w:rFonts w:ascii="Arial" w:eastAsia="Times New Roman" w:hAnsi="Arial" w:cs="Arial"/>
          <w:sz w:val="24"/>
          <w:szCs w:val="24"/>
          <w:lang w:eastAsia="fr-FR"/>
        </w:rPr>
        <w:noBreakHyphen/>
        <w:t>2027</w:t>
      </w:r>
    </w:p>
    <w:p w:rsidR="0033646A" w:rsidRPr="0033646A" w:rsidRDefault="0033646A" w:rsidP="0033646A">
      <w:pPr>
        <w:pStyle w:val="Sansinterligne"/>
        <w:rPr>
          <w:sz w:val="16"/>
          <w:szCs w:val="16"/>
          <w:lang w:eastAsia="fr-FR"/>
        </w:rPr>
      </w:pPr>
    </w:p>
    <w:p w:rsidR="0033646A" w:rsidRPr="0033646A" w:rsidRDefault="0033646A" w:rsidP="0033646A">
      <w:pPr>
        <w:spacing w:before="450" w:after="450" w:line="240" w:lineRule="auto"/>
        <w:jc w:val="center"/>
        <w:outlineLvl w:val="1"/>
        <w:rPr>
          <w:rFonts w:ascii="Marianne" w:eastAsia="Times New Roman" w:hAnsi="Marianne" w:cs="Arial"/>
          <w:color w:val="2F5496" w:themeColor="accent1" w:themeShade="BF"/>
          <w:sz w:val="28"/>
          <w:szCs w:val="28"/>
          <w:lang w:eastAsia="fr-FR"/>
        </w:rPr>
      </w:pPr>
      <w:r w:rsidRPr="0033646A">
        <w:rPr>
          <w:rFonts w:ascii="Marianne" w:eastAsia="Times New Roman" w:hAnsi="Marianne" w:cs="Arial"/>
          <w:color w:val="2F5496" w:themeColor="accent1" w:themeShade="BF"/>
          <w:sz w:val="28"/>
          <w:szCs w:val="28"/>
          <w:lang w:eastAsia="fr-FR"/>
        </w:rPr>
        <w:t>Rythmes et cadences de la vie moderne : quel temps pour soi ?</w:t>
      </w:r>
    </w:p>
    <w:p w:rsidR="0033646A" w:rsidRPr="0033646A" w:rsidRDefault="0033646A" w:rsidP="0033646A">
      <w:pPr>
        <w:spacing w:before="315" w:after="315" w:line="240" w:lineRule="auto"/>
        <w:outlineLvl w:val="2"/>
        <w:rPr>
          <w:rFonts w:ascii="Marianne" w:eastAsia="Times New Roman" w:hAnsi="Marianne" w:cs="Times New Roman"/>
          <w:b/>
          <w:bCs/>
          <w:color w:val="4472C4" w:themeColor="accent1"/>
          <w:sz w:val="24"/>
          <w:szCs w:val="24"/>
          <w:lang w:eastAsia="fr-FR"/>
        </w:rPr>
      </w:pPr>
      <w:r w:rsidRPr="0033646A">
        <w:rPr>
          <w:rFonts w:ascii="Marianne" w:eastAsia="Times New Roman" w:hAnsi="Marianne" w:cs="Times New Roman"/>
          <w:b/>
          <w:bCs/>
          <w:color w:val="4472C4" w:themeColor="accent1"/>
          <w:sz w:val="24"/>
          <w:szCs w:val="24"/>
          <w:lang w:eastAsia="fr-FR"/>
        </w:rPr>
        <w:t>Problématique</w:t>
      </w:r>
    </w:p>
    <w:p w:rsidR="0033646A" w:rsidRPr="0033646A" w:rsidRDefault="0033646A" w:rsidP="0033646A">
      <w:pPr>
        <w:spacing w:after="100" w:afterAutospacing="1" w:line="240" w:lineRule="auto"/>
        <w:jc w:val="both"/>
        <w:rPr>
          <w:rFonts w:ascii="Roboto" w:eastAsia="Times New Roman" w:hAnsi="Roboto" w:cs="Times New Roman"/>
          <w:color w:val="000000"/>
          <w:sz w:val="21"/>
          <w:szCs w:val="21"/>
          <w:lang w:eastAsia="fr-FR"/>
        </w:rPr>
      </w:pPr>
      <w:r w:rsidRPr="0033646A">
        <w:rPr>
          <w:rFonts w:ascii="Roboto" w:eastAsia="Times New Roman" w:hAnsi="Roboto" w:cs="Times New Roman"/>
          <w:color w:val="000000"/>
          <w:sz w:val="21"/>
          <w:szCs w:val="21"/>
          <w:lang w:eastAsia="fr-FR"/>
        </w:rPr>
        <w:t>La manière de vivre le temps est au cœur des préoccupations de la modernité. La technique a produit un temps accéléré, « l’homme pressé » du début du XXe siècle ou soumis aux cadences infernales des machines de la révolution industrielle, comme Charlot sur la chaîne de montage des </w:t>
      </w:r>
      <w:r w:rsidRPr="0033646A">
        <w:rPr>
          <w:rFonts w:ascii="Roboto" w:eastAsia="Times New Roman" w:hAnsi="Roboto" w:cs="Times New Roman"/>
          <w:i/>
          <w:iCs/>
          <w:color w:val="000000"/>
          <w:sz w:val="21"/>
          <w:szCs w:val="21"/>
          <w:lang w:eastAsia="fr-FR"/>
        </w:rPr>
        <w:t>Temps modernes</w:t>
      </w:r>
      <w:r w:rsidRPr="0033646A">
        <w:rPr>
          <w:rFonts w:ascii="Roboto" w:eastAsia="Times New Roman" w:hAnsi="Roboto" w:cs="Times New Roman"/>
          <w:color w:val="000000"/>
          <w:sz w:val="21"/>
          <w:szCs w:val="21"/>
          <w:lang w:eastAsia="fr-FR"/>
        </w:rPr>
        <w:t>. À cette précipitation devenue peut-être une explosion du temps dans l’immédiateté généralisée de l’ère numérique répondent cependant les aspirations à disposer d’un temps de loisir, du temps de vivre. Comment passer de l’inéluctable temporalité de la condition humaine à l’appropriation du temps, qui devient « mon » temps ? Comment concilier l’objectivité d’un temps compté, social, et la vie d’un temps personnel ? Comment passer du temps des obligations au temps pour soi ? Comment « prendre » du temps, ce qui signifierait, au lieu de le subir, de se l’approprier ? Entre temps de pause, temps de travail, temps de transport, temps de loisir, l’émiettement du temps apparaît peut-être comme l’un des problèmes majeurs de l’humanité dans des existences qui ne cessent de balancer entre l’éphémère et l’appétit de durée. Si l’on ne parvient pas à « prendre son temps », ne risque-t-on pas aussi de passer à côté de sa vie ?</w:t>
      </w:r>
    </w:p>
    <w:p w:rsidR="0033646A" w:rsidRPr="0033646A" w:rsidRDefault="0033646A" w:rsidP="0033646A">
      <w:pPr>
        <w:spacing w:after="100" w:afterAutospacing="1" w:line="240" w:lineRule="auto"/>
        <w:jc w:val="both"/>
        <w:rPr>
          <w:rFonts w:ascii="Roboto" w:eastAsia="Times New Roman" w:hAnsi="Roboto" w:cs="Times New Roman"/>
          <w:color w:val="000000"/>
          <w:sz w:val="21"/>
          <w:szCs w:val="21"/>
          <w:lang w:eastAsia="fr-FR"/>
        </w:rPr>
      </w:pPr>
      <w:r w:rsidRPr="0033646A">
        <w:rPr>
          <w:rFonts w:ascii="Roboto" w:eastAsia="Times New Roman" w:hAnsi="Roboto" w:cs="Times New Roman"/>
          <w:color w:val="000000"/>
          <w:sz w:val="21"/>
          <w:szCs w:val="21"/>
          <w:lang w:eastAsia="fr-FR"/>
        </w:rPr>
        <w:t>Proposer, dans le cadre de l’objet d’étude de la classe de terminale pour programme limitatif, « Quel temps pour soi ? », c’est donc inviter les élèves, à travers l’analyse d’une œuvre littéraire et d’une séquence appuyée par un groupement de textes divers, notamment de littérature d’idées entendue au sens large, d’œuvres artistiques, de supports et de documents variés, à une réflexion approfondie qui pourra se nourrir de leur expérience quotidienne, et de la sorte réfléchir plus généralement à nos manières de vivre. Faut-il toujours gagner du temps pour pouvoir en reprendre ? Comment distinguer « prendre son temps » et « perdre son temps » ? Quels rôles jouent la vitesse et la lenteur dans nos vies ? Quels liens encore envisager entre le temps individuel et les temps collectifs, sans compter ceux qui rythment la nature, et dans lesquels nous baignons ? De la pratique inscrite dans la vie des lycéens professionnels (les différents temps de formation, le temps privé et le temps de travail, les projets de conciliation de travail et de vie personnelle, etc.) à la réflexion des écrivains, jusqu’au temps arrêté de certaines œuvres contemplatives, ou domestiqué par les cadences de la musique, l’objet d’étude offre ainsi une prise sur une des questions les plus pressantes des rapports entre l’humanité, le monde, les sciences et la technique.</w:t>
      </w:r>
    </w:p>
    <w:p w:rsidR="0033646A" w:rsidRPr="0033646A" w:rsidRDefault="0033646A" w:rsidP="0033646A">
      <w:pPr>
        <w:spacing w:before="315" w:after="315" w:line="240" w:lineRule="auto"/>
        <w:outlineLvl w:val="2"/>
        <w:rPr>
          <w:rFonts w:ascii="Marianne" w:eastAsia="Times New Roman" w:hAnsi="Marianne" w:cs="Times New Roman"/>
          <w:b/>
          <w:bCs/>
          <w:color w:val="4472C4" w:themeColor="accent1"/>
          <w:sz w:val="24"/>
          <w:szCs w:val="24"/>
          <w:lang w:eastAsia="fr-FR"/>
        </w:rPr>
      </w:pPr>
      <w:r w:rsidRPr="0033646A">
        <w:rPr>
          <w:rFonts w:ascii="Marianne" w:eastAsia="Times New Roman" w:hAnsi="Marianne" w:cs="Times New Roman"/>
          <w:b/>
          <w:bCs/>
          <w:color w:val="4472C4" w:themeColor="accent1"/>
          <w:sz w:val="24"/>
          <w:szCs w:val="24"/>
          <w:lang w:eastAsia="fr-FR"/>
        </w:rPr>
        <w:t>Œuvres au choix</w:t>
      </w:r>
    </w:p>
    <w:p w:rsidR="0033646A" w:rsidRDefault="0033646A" w:rsidP="0033646A">
      <w:pPr>
        <w:spacing w:after="100" w:afterAutospacing="1" w:line="240" w:lineRule="auto"/>
        <w:rPr>
          <w:rFonts w:ascii="Roboto" w:eastAsia="Times New Roman" w:hAnsi="Roboto" w:cs="Times New Roman"/>
          <w:b/>
          <w:bCs/>
          <w:color w:val="000000"/>
          <w:sz w:val="21"/>
          <w:szCs w:val="21"/>
          <w:lang w:eastAsia="fr-FR"/>
        </w:rPr>
      </w:pPr>
      <w:r w:rsidRPr="0033646A">
        <w:rPr>
          <w:rFonts w:ascii="Roboto" w:eastAsia="Times New Roman" w:hAnsi="Roboto" w:cs="Times New Roman"/>
          <w:b/>
          <w:bCs/>
          <w:color w:val="000000"/>
          <w:sz w:val="21"/>
          <w:szCs w:val="21"/>
          <w:lang w:eastAsia="fr-FR"/>
        </w:rPr>
        <w:t>Les professeurs choisiront l’une des œuvres suivantes à travailler avec les élèves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646A" w:rsidTr="0033646A">
        <w:tc>
          <w:tcPr>
            <w:tcW w:w="4531" w:type="dxa"/>
          </w:tcPr>
          <w:p w:rsidR="0033646A" w:rsidRPr="0033646A" w:rsidRDefault="0033646A" w:rsidP="0033646A">
            <w:pPr>
              <w:numPr>
                <w:ilvl w:val="0"/>
                <w:numId w:val="3"/>
              </w:numPr>
              <w:spacing w:before="100" w:beforeAutospacing="1" w:after="90"/>
              <w:rPr>
                <w:rFonts w:ascii="Roboto" w:eastAsia="Times New Roman" w:hAnsi="Roboto" w:cs="Times New Roman"/>
                <w:color w:val="000000"/>
                <w:sz w:val="21"/>
                <w:szCs w:val="21"/>
                <w:lang w:eastAsia="fr-FR"/>
              </w:rPr>
            </w:pPr>
            <w:r w:rsidRPr="0033646A">
              <w:rPr>
                <w:rFonts w:ascii="Roboto" w:eastAsia="Times New Roman" w:hAnsi="Roboto" w:cs="Times New Roman"/>
                <w:b/>
                <w:bCs/>
                <w:color w:val="000000"/>
                <w:sz w:val="21"/>
                <w:szCs w:val="21"/>
                <w:lang w:eastAsia="fr-FR"/>
              </w:rPr>
              <w:t>Poésie</w:t>
            </w:r>
          </w:p>
          <w:p w:rsidR="0033646A" w:rsidRPr="0033646A" w:rsidRDefault="0033646A" w:rsidP="0033646A">
            <w:pPr>
              <w:spacing w:after="100" w:afterAutospacing="1"/>
              <w:rPr>
                <w:rFonts w:ascii="Roboto" w:eastAsia="Times New Roman" w:hAnsi="Roboto" w:cs="Times New Roman"/>
                <w:color w:val="000000"/>
                <w:sz w:val="21"/>
                <w:szCs w:val="21"/>
                <w:lang w:eastAsia="fr-FR"/>
              </w:rPr>
            </w:pPr>
            <w:r w:rsidRPr="0033646A">
              <w:rPr>
                <w:rFonts w:ascii="Roboto" w:eastAsia="Times New Roman" w:hAnsi="Roboto" w:cs="Times New Roman"/>
                <w:color w:val="000000"/>
                <w:sz w:val="21"/>
                <w:szCs w:val="21"/>
                <w:lang w:eastAsia="fr-FR"/>
              </w:rPr>
              <w:t>Thierry Metz, </w:t>
            </w:r>
            <w:r w:rsidRPr="0033646A">
              <w:rPr>
                <w:rFonts w:ascii="Roboto" w:eastAsia="Times New Roman" w:hAnsi="Roboto" w:cs="Times New Roman"/>
                <w:i/>
                <w:iCs/>
                <w:color w:val="000000"/>
                <w:sz w:val="21"/>
                <w:szCs w:val="21"/>
                <w:lang w:eastAsia="fr-FR"/>
              </w:rPr>
              <w:t>Le journal d’un manœuvre</w:t>
            </w:r>
            <w:r w:rsidRPr="0033646A">
              <w:rPr>
                <w:rFonts w:ascii="Roboto" w:eastAsia="Times New Roman" w:hAnsi="Roboto" w:cs="Times New Roman"/>
                <w:color w:val="000000"/>
                <w:sz w:val="21"/>
                <w:szCs w:val="21"/>
                <w:lang w:eastAsia="fr-FR"/>
              </w:rPr>
              <w:t> (2017).</w:t>
            </w:r>
          </w:p>
          <w:p w:rsidR="0033646A" w:rsidRPr="0033646A" w:rsidRDefault="0033646A" w:rsidP="0033646A">
            <w:pPr>
              <w:spacing w:before="100" w:beforeAutospacing="1" w:after="90"/>
              <w:rPr>
                <w:rFonts w:ascii="Roboto" w:eastAsia="Times New Roman" w:hAnsi="Roboto" w:cs="Times New Roman"/>
                <w:color w:val="000000"/>
                <w:sz w:val="21"/>
                <w:szCs w:val="21"/>
                <w:lang w:eastAsia="fr-FR"/>
              </w:rPr>
            </w:pPr>
            <w:r w:rsidRPr="0033646A">
              <w:rPr>
                <w:rFonts w:ascii="Roboto" w:eastAsia="Times New Roman" w:hAnsi="Roboto" w:cs="Times New Roman"/>
                <w:color w:val="000000"/>
                <w:sz w:val="21"/>
                <w:szCs w:val="21"/>
                <w:lang w:eastAsia="fr-FR"/>
              </w:rPr>
              <w:t>James Sacré, </w:t>
            </w:r>
            <w:r w:rsidRPr="0033646A">
              <w:rPr>
                <w:rFonts w:ascii="Roboto" w:eastAsia="Times New Roman" w:hAnsi="Roboto" w:cs="Times New Roman"/>
                <w:i/>
                <w:iCs/>
                <w:color w:val="000000"/>
                <w:sz w:val="21"/>
                <w:szCs w:val="21"/>
                <w:lang w:eastAsia="fr-FR"/>
              </w:rPr>
              <w:t>Figures qui bougent un peu </w:t>
            </w:r>
            <w:r w:rsidRPr="0033646A">
              <w:rPr>
                <w:rFonts w:ascii="Roboto" w:eastAsia="Times New Roman" w:hAnsi="Roboto" w:cs="Times New Roman"/>
                <w:color w:val="000000"/>
                <w:sz w:val="21"/>
                <w:szCs w:val="21"/>
                <w:lang w:eastAsia="fr-FR"/>
              </w:rPr>
              <w:t>(1978).</w:t>
            </w:r>
            <w:r w:rsidRPr="0033646A">
              <w:rPr>
                <w:rFonts w:ascii="Roboto" w:eastAsia="Times New Roman" w:hAnsi="Roboto" w:cs="Times New Roman"/>
                <w:b/>
                <w:bCs/>
                <w:color w:val="000000"/>
                <w:sz w:val="21"/>
                <w:szCs w:val="21"/>
                <w:lang w:eastAsia="fr-FR"/>
              </w:rPr>
              <w:t xml:space="preserve"> </w:t>
            </w:r>
          </w:p>
        </w:tc>
        <w:tc>
          <w:tcPr>
            <w:tcW w:w="4531" w:type="dxa"/>
          </w:tcPr>
          <w:p w:rsidR="0033646A" w:rsidRPr="0033646A" w:rsidRDefault="0033646A" w:rsidP="0033646A">
            <w:pPr>
              <w:numPr>
                <w:ilvl w:val="0"/>
                <w:numId w:val="1"/>
              </w:numPr>
              <w:spacing w:before="100" w:beforeAutospacing="1" w:after="90"/>
              <w:rPr>
                <w:rFonts w:ascii="Roboto" w:eastAsia="Times New Roman" w:hAnsi="Roboto" w:cs="Times New Roman"/>
                <w:color w:val="000000"/>
                <w:sz w:val="21"/>
                <w:szCs w:val="21"/>
                <w:lang w:eastAsia="fr-FR"/>
              </w:rPr>
            </w:pPr>
            <w:r w:rsidRPr="0033646A">
              <w:rPr>
                <w:rFonts w:ascii="Roboto" w:eastAsia="Times New Roman" w:hAnsi="Roboto" w:cs="Times New Roman"/>
                <w:b/>
                <w:bCs/>
                <w:color w:val="000000"/>
                <w:sz w:val="21"/>
                <w:szCs w:val="21"/>
                <w:lang w:eastAsia="fr-FR"/>
              </w:rPr>
              <w:t>Récits</w:t>
            </w:r>
          </w:p>
          <w:p w:rsidR="0033646A" w:rsidRDefault="0033646A" w:rsidP="0033646A">
            <w:pPr>
              <w:spacing w:after="100" w:afterAutospacing="1"/>
              <w:rPr>
                <w:rFonts w:ascii="Roboto" w:eastAsia="Times New Roman" w:hAnsi="Roboto" w:cs="Times New Roman"/>
                <w:color w:val="000000"/>
                <w:sz w:val="21"/>
                <w:szCs w:val="21"/>
                <w:lang w:eastAsia="fr-FR"/>
              </w:rPr>
            </w:pPr>
            <w:r w:rsidRPr="0033646A">
              <w:rPr>
                <w:rFonts w:ascii="Roboto" w:eastAsia="Times New Roman" w:hAnsi="Roboto" w:cs="Times New Roman"/>
                <w:color w:val="000000"/>
                <w:sz w:val="21"/>
                <w:szCs w:val="21"/>
                <w:lang w:eastAsia="fr-FR"/>
              </w:rPr>
              <w:t>Leïla Slimani, </w:t>
            </w:r>
            <w:r w:rsidRPr="0033646A">
              <w:rPr>
                <w:rFonts w:ascii="Roboto" w:eastAsia="Times New Roman" w:hAnsi="Roboto" w:cs="Times New Roman"/>
                <w:i/>
                <w:iCs/>
                <w:color w:val="000000"/>
                <w:sz w:val="21"/>
                <w:szCs w:val="21"/>
                <w:lang w:eastAsia="fr-FR"/>
              </w:rPr>
              <w:t>Le parfum des fleurs la nuit</w:t>
            </w:r>
            <w:r w:rsidRPr="0033646A">
              <w:rPr>
                <w:rFonts w:ascii="Roboto" w:eastAsia="Times New Roman" w:hAnsi="Roboto" w:cs="Times New Roman"/>
                <w:color w:val="000000"/>
                <w:sz w:val="21"/>
                <w:szCs w:val="21"/>
                <w:lang w:eastAsia="fr-FR"/>
              </w:rPr>
              <w:t xml:space="preserve"> (2021). </w:t>
            </w:r>
          </w:p>
          <w:p w:rsidR="0033646A" w:rsidRDefault="0033646A" w:rsidP="0033646A">
            <w:pPr>
              <w:spacing w:after="100" w:afterAutospacing="1"/>
              <w:rPr>
                <w:rFonts w:ascii="Roboto" w:eastAsia="Times New Roman" w:hAnsi="Roboto" w:cs="Times New Roman"/>
                <w:color w:val="000000"/>
                <w:sz w:val="21"/>
                <w:szCs w:val="21"/>
                <w:lang w:eastAsia="fr-FR"/>
              </w:rPr>
            </w:pPr>
            <w:r w:rsidRPr="0033646A">
              <w:rPr>
                <w:rFonts w:ascii="Roboto" w:eastAsia="Times New Roman" w:hAnsi="Roboto" w:cs="Times New Roman"/>
                <w:color w:val="000000"/>
                <w:sz w:val="21"/>
                <w:szCs w:val="21"/>
                <w:lang w:eastAsia="fr-FR"/>
              </w:rPr>
              <w:t>Jean Echenoz, </w:t>
            </w:r>
            <w:r w:rsidRPr="0033646A">
              <w:rPr>
                <w:rFonts w:ascii="Roboto" w:eastAsia="Times New Roman" w:hAnsi="Roboto" w:cs="Times New Roman"/>
                <w:i/>
                <w:iCs/>
                <w:color w:val="000000"/>
                <w:sz w:val="21"/>
                <w:szCs w:val="21"/>
                <w:lang w:eastAsia="fr-FR"/>
              </w:rPr>
              <w:t>Courir</w:t>
            </w:r>
            <w:r w:rsidRPr="0033646A">
              <w:rPr>
                <w:rFonts w:ascii="Roboto" w:eastAsia="Times New Roman" w:hAnsi="Roboto" w:cs="Times New Roman"/>
                <w:color w:val="000000"/>
                <w:sz w:val="21"/>
                <w:szCs w:val="21"/>
                <w:lang w:eastAsia="fr-FR"/>
              </w:rPr>
              <w:t xml:space="preserve"> (2008). </w:t>
            </w:r>
          </w:p>
          <w:p w:rsidR="0033646A" w:rsidRDefault="0033646A" w:rsidP="0033646A">
            <w:pPr>
              <w:spacing w:after="100" w:afterAutospacing="1"/>
              <w:rPr>
                <w:rFonts w:ascii="Roboto" w:eastAsia="Times New Roman" w:hAnsi="Roboto" w:cs="Times New Roman"/>
                <w:color w:val="000000"/>
                <w:sz w:val="21"/>
                <w:szCs w:val="21"/>
                <w:lang w:eastAsia="fr-FR"/>
              </w:rPr>
            </w:pPr>
            <w:r w:rsidRPr="0033646A">
              <w:rPr>
                <w:rFonts w:ascii="Roboto" w:eastAsia="Times New Roman" w:hAnsi="Roboto" w:cs="Times New Roman"/>
                <w:color w:val="000000"/>
                <w:sz w:val="21"/>
                <w:szCs w:val="21"/>
                <w:lang w:eastAsia="fr-FR"/>
              </w:rPr>
              <w:t>Boris Vian,</w:t>
            </w:r>
            <w:r w:rsidRPr="0033646A">
              <w:rPr>
                <w:rFonts w:ascii="Roboto" w:eastAsia="Times New Roman" w:hAnsi="Roboto" w:cs="Times New Roman"/>
                <w:i/>
                <w:iCs/>
                <w:color w:val="000000"/>
                <w:sz w:val="21"/>
                <w:szCs w:val="21"/>
                <w:lang w:eastAsia="fr-FR"/>
              </w:rPr>
              <w:t> L’Écume des jours</w:t>
            </w:r>
            <w:r w:rsidRPr="0033646A">
              <w:rPr>
                <w:rFonts w:ascii="Roboto" w:eastAsia="Times New Roman" w:hAnsi="Roboto" w:cs="Times New Roman"/>
                <w:color w:val="000000"/>
                <w:sz w:val="21"/>
                <w:szCs w:val="21"/>
                <w:lang w:eastAsia="fr-FR"/>
              </w:rPr>
              <w:t> (1946)</w:t>
            </w:r>
            <w:r w:rsidRPr="0033646A">
              <w:rPr>
                <w:rFonts w:ascii="Roboto" w:eastAsia="Times New Roman" w:hAnsi="Roboto" w:cs="Times New Roman"/>
                <w:i/>
                <w:iCs/>
                <w:color w:val="000000"/>
                <w:sz w:val="21"/>
                <w:szCs w:val="21"/>
                <w:lang w:eastAsia="fr-FR"/>
              </w:rPr>
              <w:t>.</w:t>
            </w:r>
          </w:p>
        </w:tc>
      </w:tr>
      <w:tr w:rsidR="0033646A" w:rsidTr="0033646A">
        <w:tc>
          <w:tcPr>
            <w:tcW w:w="4531" w:type="dxa"/>
          </w:tcPr>
          <w:p w:rsidR="0033646A" w:rsidRPr="0033646A" w:rsidRDefault="0033646A" w:rsidP="0033646A">
            <w:pPr>
              <w:numPr>
                <w:ilvl w:val="0"/>
                <w:numId w:val="3"/>
              </w:numPr>
              <w:spacing w:before="100" w:beforeAutospacing="1" w:after="90"/>
              <w:rPr>
                <w:rFonts w:ascii="Roboto" w:eastAsia="Times New Roman" w:hAnsi="Roboto" w:cs="Times New Roman"/>
                <w:color w:val="000000"/>
                <w:sz w:val="21"/>
                <w:szCs w:val="21"/>
                <w:lang w:eastAsia="fr-FR"/>
              </w:rPr>
            </w:pPr>
            <w:r w:rsidRPr="0033646A">
              <w:rPr>
                <w:rFonts w:ascii="Roboto" w:eastAsia="Times New Roman" w:hAnsi="Roboto" w:cs="Times New Roman"/>
                <w:b/>
                <w:bCs/>
                <w:color w:val="000000"/>
                <w:sz w:val="21"/>
                <w:szCs w:val="21"/>
                <w:lang w:eastAsia="fr-FR"/>
              </w:rPr>
              <w:t>Théâtre</w:t>
            </w:r>
          </w:p>
          <w:p w:rsidR="0033646A" w:rsidRDefault="0033646A" w:rsidP="0033646A">
            <w:pPr>
              <w:spacing w:after="100" w:afterAutospacing="1"/>
              <w:rPr>
                <w:rFonts w:ascii="Roboto" w:eastAsia="Times New Roman" w:hAnsi="Roboto" w:cs="Times New Roman"/>
                <w:color w:val="000000"/>
                <w:sz w:val="21"/>
                <w:szCs w:val="21"/>
                <w:lang w:eastAsia="fr-FR"/>
              </w:rPr>
            </w:pPr>
            <w:r w:rsidRPr="0033646A">
              <w:rPr>
                <w:rFonts w:ascii="Roboto" w:eastAsia="Times New Roman" w:hAnsi="Roboto" w:cs="Times New Roman"/>
                <w:color w:val="000000"/>
                <w:sz w:val="21"/>
                <w:szCs w:val="21"/>
                <w:lang w:eastAsia="fr-FR"/>
              </w:rPr>
              <w:t>Marguerite Duras</w:t>
            </w:r>
            <w:r w:rsidRPr="0033646A">
              <w:rPr>
                <w:rFonts w:ascii="Roboto" w:eastAsia="Times New Roman" w:hAnsi="Roboto" w:cs="Times New Roman"/>
                <w:i/>
                <w:iCs/>
                <w:color w:val="000000"/>
                <w:sz w:val="21"/>
                <w:szCs w:val="21"/>
                <w:lang w:eastAsia="fr-FR"/>
              </w:rPr>
              <w:t>, Le Square </w:t>
            </w:r>
            <w:r w:rsidRPr="0033646A">
              <w:rPr>
                <w:rFonts w:ascii="Roboto" w:eastAsia="Times New Roman" w:hAnsi="Roboto" w:cs="Times New Roman"/>
                <w:color w:val="000000"/>
                <w:sz w:val="21"/>
                <w:szCs w:val="21"/>
                <w:lang w:eastAsia="fr-FR"/>
              </w:rPr>
              <w:t>(version théâtrale) (1965).</w:t>
            </w:r>
          </w:p>
        </w:tc>
        <w:tc>
          <w:tcPr>
            <w:tcW w:w="4531" w:type="dxa"/>
          </w:tcPr>
          <w:p w:rsidR="0033646A" w:rsidRDefault="0033646A" w:rsidP="0033646A">
            <w:pPr>
              <w:spacing w:after="100" w:afterAutospacing="1"/>
              <w:rPr>
                <w:rFonts w:ascii="Roboto" w:eastAsia="Times New Roman" w:hAnsi="Roboto" w:cs="Times New Roman"/>
                <w:color w:val="000000"/>
                <w:sz w:val="21"/>
                <w:szCs w:val="21"/>
                <w:lang w:eastAsia="fr-FR"/>
              </w:rPr>
            </w:pPr>
          </w:p>
        </w:tc>
      </w:tr>
    </w:tbl>
    <w:p w:rsidR="0033646A" w:rsidRDefault="0033646A" w:rsidP="0033646A">
      <w:bookmarkStart w:id="0" w:name="_GoBack"/>
      <w:bookmarkEnd w:id="0"/>
    </w:p>
    <w:sectPr w:rsidR="0033646A" w:rsidSect="0033646A">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0F9F"/>
    <w:multiLevelType w:val="multilevel"/>
    <w:tmpl w:val="0A12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E76CA4"/>
    <w:multiLevelType w:val="multilevel"/>
    <w:tmpl w:val="5C7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C2985"/>
    <w:multiLevelType w:val="multilevel"/>
    <w:tmpl w:val="13C8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6A"/>
    <w:rsid w:val="00336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E615"/>
  <w15:chartTrackingRefBased/>
  <w15:docId w15:val="{6C9613F2-B007-40D5-82D3-6FE87A12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33646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3646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3646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3646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364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3646A"/>
    <w:rPr>
      <w:i/>
      <w:iCs/>
    </w:rPr>
  </w:style>
  <w:style w:type="character" w:styleId="lev">
    <w:name w:val="Strong"/>
    <w:basedOn w:val="Policepardfaut"/>
    <w:uiPriority w:val="22"/>
    <w:qFormat/>
    <w:rsid w:val="0033646A"/>
    <w:rPr>
      <w:b/>
      <w:bCs/>
    </w:rPr>
  </w:style>
  <w:style w:type="table" w:styleId="Grilledutableau">
    <w:name w:val="Table Grid"/>
    <w:basedOn w:val="TableauNormal"/>
    <w:uiPriority w:val="39"/>
    <w:rsid w:val="0033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336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7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482</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Mattern</dc:creator>
  <cp:keywords/>
  <dc:description/>
  <cp:lastModifiedBy>Anne-Laure Mattern</cp:lastModifiedBy>
  <cp:revision>1</cp:revision>
  <dcterms:created xsi:type="dcterms:W3CDTF">2024-10-04T09:09:00Z</dcterms:created>
  <dcterms:modified xsi:type="dcterms:W3CDTF">2024-10-04T09:18:00Z</dcterms:modified>
</cp:coreProperties>
</file>